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E9D9" w:themeColor="accent6" w:themeTint="33"/>
  <w:body>
    <w:p w:rsidR="00472320" w:rsidRDefault="00FE13EA" w:rsidP="00567588">
      <w:pPr>
        <w:pStyle w:val="Normal1"/>
        <w:widowControl w:val="0"/>
        <w:tabs>
          <w:tab w:val="left" w:pos="709"/>
        </w:tabs>
        <w:bidi/>
        <w:spacing w:after="120"/>
        <w:rPr>
          <w:rFonts w:asciiTheme="minorHAnsi" w:hAnsiTheme="minorHAnsi"/>
          <w:b/>
          <w:sz w:val="26"/>
          <w:szCs w:val="26"/>
          <w:lang w:bidi="ar-EG"/>
        </w:rPr>
      </w:pPr>
      <w:r>
        <w:rPr>
          <w:rFonts w:asciiTheme="minorHAnsi" w:hAnsiTheme="minorHAnsi"/>
          <w:b/>
          <w:noProof/>
          <w:sz w:val="26"/>
          <w:szCs w:val="26"/>
        </w:rPr>
        <w:drawing>
          <wp:anchor distT="0" distB="0" distL="114300" distR="114300" simplePos="0" relativeHeight="251666432" behindDoc="1" locked="0" layoutInCell="1" allowOverlap="1">
            <wp:simplePos x="0" y="0"/>
            <wp:positionH relativeFrom="page">
              <wp:align>right</wp:align>
            </wp:positionH>
            <wp:positionV relativeFrom="paragraph">
              <wp:posOffset>-906780</wp:posOffset>
            </wp:positionV>
            <wp:extent cx="7772400" cy="100355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35540"/>
                    </a:xfrm>
                    <a:prstGeom prst="rect">
                      <a:avLst/>
                    </a:prstGeom>
                  </pic:spPr>
                </pic:pic>
              </a:graphicData>
            </a:graphic>
            <wp14:sizeRelH relativeFrom="margin">
              <wp14:pctWidth>0</wp14:pctWidth>
            </wp14:sizeRelH>
            <wp14:sizeRelV relativeFrom="margin">
              <wp14:pctHeight>0</wp14:pctHeight>
            </wp14:sizeRelV>
          </wp:anchor>
        </w:drawing>
      </w: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Default="00FE13EA" w:rsidP="00FE13EA">
      <w:pPr>
        <w:pStyle w:val="Normal1"/>
        <w:widowControl w:val="0"/>
        <w:tabs>
          <w:tab w:val="left" w:pos="709"/>
        </w:tabs>
        <w:bidi/>
        <w:spacing w:after="120"/>
        <w:rPr>
          <w:rFonts w:asciiTheme="minorHAnsi" w:hAnsiTheme="minorHAnsi"/>
          <w:b/>
          <w:sz w:val="26"/>
          <w:szCs w:val="26"/>
          <w:lang w:bidi="ar-EG"/>
        </w:rPr>
      </w:pPr>
    </w:p>
    <w:p w:rsidR="00FE13EA" w:rsidRPr="00724A01" w:rsidRDefault="00FE13EA" w:rsidP="00FE13EA">
      <w:pPr>
        <w:pStyle w:val="Normal1"/>
        <w:widowControl w:val="0"/>
        <w:tabs>
          <w:tab w:val="left" w:pos="709"/>
        </w:tabs>
        <w:bidi/>
        <w:spacing w:after="120"/>
        <w:rPr>
          <w:rFonts w:asciiTheme="minorHAnsi" w:hAnsiTheme="minorHAnsi"/>
          <w:b/>
          <w:sz w:val="26"/>
          <w:szCs w:val="26"/>
          <w:lang w:bidi="ar-EG"/>
        </w:rPr>
      </w:pPr>
    </w:p>
    <w:p w:rsidR="00BD3825" w:rsidRPr="00724A01" w:rsidRDefault="00BD3825" w:rsidP="00BD3825">
      <w:pPr>
        <w:bidi w:val="0"/>
        <w:spacing w:after="12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b/>
          <w:bCs/>
          <w:color w:val="000000"/>
          <w:sz w:val="24"/>
          <w:szCs w:val="24"/>
        </w:rPr>
        <w:lastRenderedPageBreak/>
        <w:t>The Arabic Network for Human Rights Information (ANHRI)</w:t>
      </w:r>
    </w:p>
    <w:p w:rsidR="00BD3825" w:rsidRPr="00724A01" w:rsidRDefault="00BD3825" w:rsidP="00BD3825">
      <w:pPr>
        <w:bidi w:val="0"/>
        <w:spacing w:after="12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b/>
          <w:bCs/>
          <w:color w:val="000000"/>
          <w:sz w:val="24"/>
          <w:szCs w:val="24"/>
        </w:rPr>
        <w:t>"Lawyers for Democracy” Initiative</w:t>
      </w:r>
    </w:p>
    <w:p w:rsidR="00BD3825" w:rsidRPr="00724A01" w:rsidRDefault="00BD3825" w:rsidP="00BD3825">
      <w:pPr>
        <w:bidi w:val="0"/>
        <w:spacing w:line="240" w:lineRule="auto"/>
        <w:rPr>
          <w:rFonts w:asciiTheme="minorHAnsi" w:eastAsia="Times New Roman" w:hAnsiTheme="minorHAnsi" w:cs="Times New Roman"/>
          <w:sz w:val="24"/>
          <w:szCs w:val="24"/>
        </w:rPr>
      </w:pPr>
    </w:p>
    <w:p w:rsidR="00567588" w:rsidRDefault="00BD3825" w:rsidP="00567588">
      <w:pPr>
        <w:bidi w:val="0"/>
        <w:spacing w:after="120" w:line="240" w:lineRule="auto"/>
        <w:jc w:val="center"/>
        <w:rPr>
          <w:rFonts w:asciiTheme="minorHAnsi" w:eastAsia="Times New Roman" w:hAnsiTheme="minorHAnsi" w:cs="Times New Roman"/>
          <w:b/>
          <w:bCs/>
          <w:color w:val="000000"/>
          <w:sz w:val="36"/>
          <w:szCs w:val="36"/>
        </w:rPr>
      </w:pPr>
      <w:r w:rsidRPr="00567588">
        <w:rPr>
          <w:rFonts w:asciiTheme="minorHAnsi" w:eastAsia="Times New Roman" w:hAnsiTheme="minorHAnsi" w:cs="Times New Roman"/>
          <w:b/>
          <w:bCs/>
          <w:color w:val="000000"/>
          <w:sz w:val="36"/>
          <w:szCs w:val="36"/>
        </w:rPr>
        <w:t>The Democratic Path in Egypt</w:t>
      </w:r>
    </w:p>
    <w:p w:rsidR="00BD3825" w:rsidRPr="00567588" w:rsidRDefault="00BD3825" w:rsidP="00567588">
      <w:pPr>
        <w:bidi w:val="0"/>
        <w:spacing w:after="120" w:line="240" w:lineRule="auto"/>
        <w:jc w:val="center"/>
        <w:rPr>
          <w:rFonts w:asciiTheme="minorHAnsi" w:eastAsia="Times New Roman" w:hAnsiTheme="minorHAnsi" w:cs="Times New Roman"/>
          <w:sz w:val="36"/>
          <w:szCs w:val="36"/>
        </w:rPr>
      </w:pPr>
      <w:r w:rsidRPr="00567588">
        <w:rPr>
          <w:rFonts w:asciiTheme="minorHAnsi" w:eastAsia="Times New Roman" w:hAnsiTheme="minorHAnsi" w:cs="Times New Roman"/>
          <w:b/>
          <w:bCs/>
          <w:color w:val="000000"/>
          <w:sz w:val="36"/>
          <w:szCs w:val="36"/>
        </w:rPr>
        <w:t>during the Second Quarter of 2020</w:t>
      </w:r>
    </w:p>
    <w:p w:rsidR="00BD3825" w:rsidRPr="00724A01" w:rsidRDefault="00BD3825" w:rsidP="00BD3825">
      <w:pPr>
        <w:bidi w:val="0"/>
        <w:spacing w:line="240" w:lineRule="auto"/>
        <w:rPr>
          <w:rFonts w:asciiTheme="minorHAnsi" w:eastAsia="Times New Roman" w:hAnsiTheme="minorHAnsi" w:cs="Times New Roman"/>
          <w:sz w:val="24"/>
          <w:szCs w:val="24"/>
        </w:rPr>
      </w:pPr>
    </w:p>
    <w:p w:rsidR="00BD3825" w:rsidRPr="00724A01" w:rsidRDefault="00BD3825" w:rsidP="00BD3825">
      <w:pPr>
        <w:bidi w:val="0"/>
        <w:spacing w:after="12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b/>
          <w:bCs/>
          <w:color w:val="000000"/>
          <w:sz w:val="24"/>
          <w:szCs w:val="24"/>
        </w:rPr>
        <w:t>Before we begin:</w:t>
      </w:r>
    </w:p>
    <w:p w:rsidR="00BD3825" w:rsidRPr="00724A01" w:rsidRDefault="00BD3825" w:rsidP="00BD3825">
      <w:pPr>
        <w:bidi w:val="0"/>
        <w:spacing w:after="12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color w:val="000000"/>
          <w:sz w:val="24"/>
          <w:szCs w:val="24"/>
        </w:rPr>
        <w:t>The Democratic Path is a report that is launched by the Arabic Network for Human Rights Information (ANHRI) every three months, i.e. quarterly, as part of the “Lawyers for Democracy” initiative which was launched in 2014 to monitor the democratic process in Egypt.</w:t>
      </w:r>
    </w:p>
    <w:p w:rsidR="00BD3825" w:rsidRPr="00724A01" w:rsidRDefault="00BD3825" w:rsidP="00BD3825">
      <w:pPr>
        <w:bidi w:val="0"/>
        <w:spacing w:after="12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color w:val="000000"/>
          <w:sz w:val="24"/>
          <w:szCs w:val="24"/>
        </w:rPr>
        <w:t>In addition to the reports</w:t>
      </w:r>
      <w:r w:rsidRPr="00724A01">
        <w:rPr>
          <w:rFonts w:asciiTheme="minorHAnsi" w:hAnsiTheme="minorHAnsi"/>
        </w:rPr>
        <w:t xml:space="preserve"> </w:t>
      </w:r>
      <w:r w:rsidRPr="00724A01">
        <w:rPr>
          <w:rFonts w:asciiTheme="minorHAnsi" w:eastAsia="Times New Roman" w:hAnsiTheme="minorHAnsi" w:cs="Times New Roman"/>
          <w:color w:val="000000"/>
          <w:sz w:val="24"/>
          <w:szCs w:val="24"/>
        </w:rPr>
        <w:t>periodically issued to monitor the state of democracy, ANHRI issued annual periodic reports to monitor the democratic path from 2014 till 2019. You can be accessed them through the “Reports and Studies” section on ANHRI’s website by clicking on the following link:</w:t>
      </w:r>
    </w:p>
    <w:p w:rsidR="00BD3825" w:rsidRPr="00724A01" w:rsidRDefault="00192480" w:rsidP="00BD3825">
      <w:pPr>
        <w:bidi w:val="0"/>
        <w:spacing w:after="120" w:line="240" w:lineRule="auto"/>
        <w:rPr>
          <w:rFonts w:asciiTheme="minorHAnsi" w:eastAsia="Times New Roman" w:hAnsiTheme="minorHAnsi" w:cs="Times New Roman"/>
          <w:sz w:val="24"/>
          <w:szCs w:val="24"/>
        </w:rPr>
      </w:pPr>
      <w:hyperlink r:id="rId8" w:history="1">
        <w:r w:rsidR="00BD3825" w:rsidRPr="00724A01">
          <w:rPr>
            <w:rFonts w:asciiTheme="minorHAnsi" w:eastAsia="Times New Roman" w:hAnsiTheme="minorHAnsi" w:cs="Times New Roman"/>
            <w:color w:val="0000FF"/>
            <w:sz w:val="24"/>
            <w:szCs w:val="24"/>
            <w:u w:val="single"/>
          </w:rPr>
          <w:t>https://www.anhri.info/?cat=14&amp;lang=en</w:t>
        </w:r>
      </w:hyperlink>
    </w:p>
    <w:p w:rsidR="00BD3825" w:rsidRPr="00724A01" w:rsidRDefault="00BD3825" w:rsidP="00BD3825">
      <w:pPr>
        <w:pStyle w:val="Normal1"/>
        <w:widowControl w:val="0"/>
        <w:tabs>
          <w:tab w:val="left" w:pos="709"/>
        </w:tabs>
        <w:spacing w:after="120"/>
        <w:rPr>
          <w:rFonts w:asciiTheme="minorHAnsi" w:hAnsiTheme="minorHAnsi"/>
          <w:color w:val="00000A"/>
          <w:sz w:val="26"/>
          <w:szCs w:val="26"/>
          <w:lang w:bidi="ar-EG"/>
        </w:rPr>
      </w:pPr>
    </w:p>
    <w:p w:rsidR="006561AE" w:rsidRPr="006561AE" w:rsidRDefault="00BD3825" w:rsidP="00BD3825">
      <w:pPr>
        <w:pStyle w:val="Normal1"/>
        <w:widowControl w:val="0"/>
        <w:tabs>
          <w:tab w:val="left" w:pos="709"/>
        </w:tabs>
        <w:spacing w:after="120"/>
        <w:rPr>
          <w:rFonts w:asciiTheme="minorHAnsi" w:hAnsiTheme="minorHAnsi"/>
          <w:b/>
          <w:bCs/>
          <w:color w:val="00000A"/>
          <w:sz w:val="26"/>
          <w:szCs w:val="26"/>
          <w:lang w:bidi="ar-EG"/>
        </w:rPr>
      </w:pPr>
      <w:r w:rsidRPr="006561AE">
        <w:rPr>
          <w:rFonts w:asciiTheme="minorHAnsi" w:hAnsiTheme="minorHAnsi"/>
          <w:b/>
          <w:bCs/>
          <w:color w:val="00000A"/>
          <w:sz w:val="26"/>
          <w:szCs w:val="26"/>
          <w:lang w:bidi="ar-EG"/>
        </w:rPr>
        <w:t>Introduction</w:t>
      </w:r>
    </w:p>
    <w:p w:rsidR="00F40A9D" w:rsidRDefault="006561AE" w:rsidP="00F40A9D">
      <w:pPr>
        <w:pStyle w:val="Normal1"/>
        <w:widowControl w:val="0"/>
        <w:tabs>
          <w:tab w:val="left" w:pos="709"/>
        </w:tabs>
        <w:spacing w:after="120"/>
        <w:jc w:val="both"/>
        <w:rPr>
          <w:rFonts w:asciiTheme="minorHAnsi" w:hAnsiTheme="minorHAnsi"/>
          <w:color w:val="00000A"/>
          <w:sz w:val="24"/>
          <w:szCs w:val="24"/>
          <w:lang w:bidi="ar-EG"/>
        </w:rPr>
      </w:pPr>
      <w:r w:rsidRPr="00CD08FD">
        <w:rPr>
          <w:rFonts w:asciiTheme="minorHAnsi" w:hAnsiTheme="minorHAnsi"/>
          <w:color w:val="00000A"/>
          <w:sz w:val="24"/>
          <w:szCs w:val="24"/>
          <w:lang w:bidi="ar-EG"/>
        </w:rPr>
        <w:t>The 2</w:t>
      </w:r>
      <w:r w:rsidRPr="00CD08FD">
        <w:rPr>
          <w:rFonts w:asciiTheme="minorHAnsi" w:hAnsiTheme="minorHAnsi"/>
          <w:color w:val="00000A"/>
          <w:sz w:val="24"/>
          <w:szCs w:val="24"/>
          <w:vertAlign w:val="superscript"/>
          <w:lang w:bidi="ar-EG"/>
        </w:rPr>
        <w:t>nd</w:t>
      </w:r>
      <w:r w:rsidRPr="00CD08FD">
        <w:rPr>
          <w:rFonts w:asciiTheme="minorHAnsi" w:hAnsiTheme="minorHAnsi"/>
          <w:color w:val="00000A"/>
          <w:sz w:val="24"/>
          <w:szCs w:val="24"/>
          <w:lang w:bidi="ar-EG"/>
        </w:rPr>
        <w:t xml:space="preserve"> Quarter 2020 D</w:t>
      </w:r>
      <w:r w:rsidR="00CD08FD" w:rsidRPr="00CD08FD">
        <w:rPr>
          <w:rFonts w:asciiTheme="minorHAnsi" w:hAnsiTheme="minorHAnsi"/>
          <w:color w:val="00000A"/>
          <w:sz w:val="24"/>
          <w:szCs w:val="24"/>
          <w:lang w:bidi="ar-EG"/>
        </w:rPr>
        <w:t xml:space="preserve">emocratic </w:t>
      </w:r>
      <w:r w:rsidRPr="00CD08FD">
        <w:rPr>
          <w:rFonts w:asciiTheme="minorHAnsi" w:hAnsiTheme="minorHAnsi"/>
          <w:color w:val="00000A"/>
          <w:sz w:val="24"/>
          <w:szCs w:val="24"/>
          <w:lang w:bidi="ar-EG"/>
        </w:rPr>
        <w:t>P</w:t>
      </w:r>
      <w:r w:rsidR="00CD08FD" w:rsidRPr="00CD08FD">
        <w:rPr>
          <w:rFonts w:asciiTheme="minorHAnsi" w:hAnsiTheme="minorHAnsi"/>
          <w:color w:val="00000A"/>
          <w:sz w:val="24"/>
          <w:szCs w:val="24"/>
          <w:lang w:bidi="ar-EG"/>
        </w:rPr>
        <w:t xml:space="preserve">ath </w:t>
      </w:r>
      <w:r w:rsidRPr="00CD08FD">
        <w:rPr>
          <w:rFonts w:asciiTheme="minorHAnsi" w:hAnsiTheme="minorHAnsi"/>
          <w:color w:val="00000A"/>
          <w:sz w:val="24"/>
          <w:szCs w:val="24"/>
          <w:lang w:bidi="ar-EG"/>
        </w:rPr>
        <w:t xml:space="preserve"> report covers a number of manifold issues and incidents, includin</w:t>
      </w:r>
      <w:r w:rsidR="00CD08FD" w:rsidRPr="00CD08FD">
        <w:rPr>
          <w:rFonts w:asciiTheme="minorHAnsi" w:hAnsiTheme="minorHAnsi"/>
          <w:color w:val="00000A"/>
          <w:sz w:val="24"/>
          <w:szCs w:val="24"/>
          <w:lang w:bidi="ar-EG"/>
        </w:rPr>
        <w:t xml:space="preserve">g the first death anniversary of Egypt's former President Mohamed Morsi, who died in court while standing trial in the case publicly known as "spying for Hamas'. </w:t>
      </w:r>
      <w:r w:rsidR="00CD08FD">
        <w:rPr>
          <w:rFonts w:asciiTheme="minorHAnsi" w:hAnsiTheme="minorHAnsi"/>
          <w:color w:val="00000A"/>
          <w:sz w:val="24"/>
          <w:szCs w:val="24"/>
          <w:lang w:bidi="ar-EG"/>
        </w:rPr>
        <w:t>The report</w:t>
      </w:r>
      <w:r w:rsidR="00CD08FD" w:rsidRPr="00CD08FD">
        <w:rPr>
          <w:rFonts w:asciiTheme="minorHAnsi" w:hAnsiTheme="minorHAnsi"/>
          <w:color w:val="00000A"/>
          <w:sz w:val="24"/>
          <w:szCs w:val="24"/>
          <w:lang w:bidi="ar-EG"/>
        </w:rPr>
        <w:t xml:space="preserve"> also tackles the </w:t>
      </w:r>
      <w:r w:rsidR="00CD08FD">
        <w:rPr>
          <w:rFonts w:asciiTheme="minorHAnsi" w:hAnsiTheme="minorHAnsi"/>
          <w:color w:val="00000A"/>
          <w:sz w:val="24"/>
          <w:szCs w:val="24"/>
          <w:lang w:bidi="ar-EG"/>
        </w:rPr>
        <w:t>Supreme Judicial Council's</w:t>
      </w:r>
      <w:r w:rsidR="00CD08FD" w:rsidRPr="00CD08FD">
        <w:rPr>
          <w:rFonts w:asciiTheme="minorHAnsi" w:hAnsiTheme="minorHAnsi"/>
          <w:color w:val="00000A"/>
          <w:sz w:val="24"/>
          <w:szCs w:val="24"/>
          <w:lang w:bidi="ar-EG"/>
        </w:rPr>
        <w:t xml:space="preserve"> decision to suspend court proceedings </w:t>
      </w:r>
      <w:r w:rsidR="00A87354">
        <w:rPr>
          <w:rFonts w:asciiTheme="minorHAnsi" w:hAnsiTheme="minorHAnsi"/>
          <w:color w:val="00000A"/>
          <w:sz w:val="24"/>
          <w:szCs w:val="24"/>
          <w:lang w:bidi="ar-EG"/>
        </w:rPr>
        <w:t xml:space="preserve">and the transfer of defendants from their jail to the courthouse or the competent prosecutions due to </w:t>
      </w:r>
      <w:r w:rsidR="00CD08FD">
        <w:rPr>
          <w:rFonts w:asciiTheme="minorHAnsi" w:hAnsiTheme="minorHAnsi"/>
          <w:color w:val="00000A"/>
          <w:sz w:val="24"/>
          <w:szCs w:val="24"/>
          <w:lang w:bidi="ar-EG"/>
        </w:rPr>
        <w:t>the spread of the</w:t>
      </w:r>
      <w:r w:rsidR="00CD08FD" w:rsidRPr="00CD08FD">
        <w:rPr>
          <w:rFonts w:asciiTheme="minorHAnsi" w:hAnsiTheme="minorHAnsi"/>
          <w:color w:val="00000A"/>
          <w:sz w:val="24"/>
          <w:szCs w:val="24"/>
          <w:lang w:bidi="ar-EG"/>
        </w:rPr>
        <w:t xml:space="preserve"> Coronavirus</w:t>
      </w:r>
      <w:r w:rsidR="00CD08FD">
        <w:rPr>
          <w:rFonts w:asciiTheme="minorHAnsi" w:hAnsiTheme="minorHAnsi"/>
          <w:color w:val="00000A"/>
          <w:sz w:val="24"/>
          <w:szCs w:val="24"/>
          <w:lang w:bidi="ar-EG"/>
        </w:rPr>
        <w:t xml:space="preserve"> (COVID-19) pandemic, </w:t>
      </w:r>
      <w:r w:rsidR="00A87354">
        <w:rPr>
          <w:rFonts w:asciiTheme="minorHAnsi" w:hAnsiTheme="minorHAnsi"/>
          <w:color w:val="00000A"/>
          <w:sz w:val="24"/>
          <w:szCs w:val="24"/>
          <w:lang w:bidi="ar-EG"/>
        </w:rPr>
        <w:t>a move that</w:t>
      </w:r>
      <w:r w:rsidR="00CD08FD">
        <w:rPr>
          <w:rFonts w:asciiTheme="minorHAnsi" w:hAnsiTheme="minorHAnsi"/>
          <w:color w:val="00000A"/>
          <w:sz w:val="24"/>
          <w:szCs w:val="24"/>
          <w:lang w:bidi="ar-EG"/>
        </w:rPr>
        <w:t xml:space="preserve"> </w:t>
      </w:r>
      <w:r w:rsidR="00D250A3">
        <w:rPr>
          <w:rFonts w:asciiTheme="minorHAnsi" w:hAnsiTheme="minorHAnsi"/>
          <w:color w:val="00000A"/>
          <w:sz w:val="24"/>
          <w:szCs w:val="24"/>
          <w:lang w:bidi="ar-EG"/>
        </w:rPr>
        <w:t>has</w:t>
      </w:r>
      <w:r w:rsidR="00A87354">
        <w:rPr>
          <w:rFonts w:asciiTheme="minorHAnsi" w:hAnsiTheme="minorHAnsi"/>
          <w:color w:val="00000A"/>
          <w:sz w:val="24"/>
          <w:szCs w:val="24"/>
          <w:lang w:bidi="ar-EG"/>
        </w:rPr>
        <w:t xml:space="preserve"> led to the postponement of all cases </w:t>
      </w:r>
      <w:r w:rsidR="00D250A3">
        <w:rPr>
          <w:rFonts w:asciiTheme="minorHAnsi" w:hAnsiTheme="minorHAnsi"/>
          <w:color w:val="00000A"/>
          <w:sz w:val="24"/>
          <w:szCs w:val="24"/>
          <w:lang w:bidi="ar-EG"/>
        </w:rPr>
        <w:t xml:space="preserve">considered before the judiciary in the country. The </w:t>
      </w:r>
      <w:r w:rsidR="00D250A3" w:rsidRPr="00D250A3">
        <w:rPr>
          <w:rFonts w:asciiTheme="minorHAnsi" w:hAnsiTheme="minorHAnsi"/>
          <w:color w:val="00000A"/>
          <w:sz w:val="24"/>
          <w:szCs w:val="24"/>
          <w:lang w:bidi="ar-EG"/>
        </w:rPr>
        <w:t>coronavirus outbreak</w:t>
      </w:r>
      <w:r w:rsidR="00D250A3">
        <w:rPr>
          <w:rFonts w:asciiTheme="minorHAnsi" w:hAnsiTheme="minorHAnsi"/>
          <w:color w:val="00000A"/>
          <w:sz w:val="24"/>
          <w:szCs w:val="24"/>
          <w:lang w:bidi="ar-EG"/>
        </w:rPr>
        <w:t xml:space="preserve"> didn’t prevent </w:t>
      </w:r>
      <w:r w:rsidR="00041371">
        <w:rPr>
          <w:rFonts w:asciiTheme="minorHAnsi" w:hAnsiTheme="minorHAnsi"/>
          <w:color w:val="00000A"/>
          <w:sz w:val="24"/>
          <w:szCs w:val="24"/>
          <w:lang w:bidi="ar-EG"/>
        </w:rPr>
        <w:t>the authorities from proceeding with their crackdown on activists, human rights defenders and opinion holders. During the last month of the second quarter of the year, journalist</w:t>
      </w:r>
      <w:r w:rsidR="00011B40">
        <w:rPr>
          <w:rFonts w:asciiTheme="minorHAnsi" w:hAnsiTheme="minorHAnsi"/>
          <w:color w:val="00000A"/>
          <w:sz w:val="24"/>
          <w:szCs w:val="24"/>
          <w:lang w:bidi="ar-EG"/>
        </w:rPr>
        <w:t>s Mohamed Monir and Awni Nafea were arrested and</w:t>
      </w:r>
      <w:r w:rsidR="00041371">
        <w:rPr>
          <w:rFonts w:asciiTheme="minorHAnsi" w:hAnsiTheme="minorHAnsi"/>
          <w:color w:val="00000A"/>
          <w:sz w:val="24"/>
          <w:szCs w:val="24"/>
          <w:lang w:bidi="ar-EG"/>
        </w:rPr>
        <w:t xml:space="preserve"> taken to the Supreme State Security</w:t>
      </w:r>
      <w:r w:rsidR="00011B40">
        <w:rPr>
          <w:rFonts w:asciiTheme="minorHAnsi" w:hAnsiTheme="minorHAnsi"/>
          <w:color w:val="00000A"/>
          <w:sz w:val="24"/>
          <w:szCs w:val="24"/>
          <w:lang w:bidi="ar-EG"/>
        </w:rPr>
        <w:t xml:space="preserve"> Prosecution for investigation, after they posted comments on their Facebook pages criticizing the Egyptian government in dealing with the</w:t>
      </w:r>
      <w:r w:rsidR="00011B40" w:rsidRPr="00011B40">
        <w:t xml:space="preserve"> </w:t>
      </w:r>
      <w:r w:rsidR="00011B40" w:rsidRPr="00011B40">
        <w:rPr>
          <w:rFonts w:asciiTheme="minorHAnsi" w:hAnsiTheme="minorHAnsi"/>
          <w:color w:val="00000A"/>
          <w:sz w:val="24"/>
          <w:szCs w:val="24"/>
          <w:lang w:bidi="ar-EG"/>
        </w:rPr>
        <w:t>coronavirus</w:t>
      </w:r>
      <w:r w:rsidR="00011B40">
        <w:rPr>
          <w:rFonts w:asciiTheme="minorHAnsi" w:hAnsiTheme="minorHAnsi"/>
          <w:color w:val="00000A"/>
          <w:sz w:val="24"/>
          <w:szCs w:val="24"/>
          <w:lang w:bidi="ar-EG"/>
        </w:rPr>
        <w:t xml:space="preserve"> crisis. The security forces also arrested human rights lawyer Sanaa Seif outside the Public Prosecutor's Office </w:t>
      </w:r>
      <w:r w:rsidR="00F40A9D">
        <w:rPr>
          <w:rFonts w:asciiTheme="minorHAnsi" w:hAnsiTheme="minorHAnsi"/>
          <w:color w:val="00000A"/>
          <w:sz w:val="24"/>
          <w:szCs w:val="24"/>
          <w:lang w:bidi="ar-EG"/>
        </w:rPr>
        <w:t>while</w:t>
      </w:r>
      <w:r w:rsidR="00011B40">
        <w:rPr>
          <w:rFonts w:asciiTheme="minorHAnsi" w:hAnsiTheme="minorHAnsi"/>
          <w:color w:val="00000A"/>
          <w:sz w:val="24"/>
          <w:szCs w:val="24"/>
          <w:lang w:bidi="ar-EG"/>
        </w:rPr>
        <w:t xml:space="preserve"> she was</w:t>
      </w:r>
      <w:r w:rsidR="00561F78">
        <w:rPr>
          <w:rFonts w:asciiTheme="minorHAnsi" w:hAnsiTheme="minorHAnsi"/>
          <w:color w:val="00000A"/>
          <w:sz w:val="24"/>
          <w:szCs w:val="24"/>
          <w:lang w:bidi="ar-EG"/>
        </w:rPr>
        <w:t xml:space="preserve"> attempting to lodge an official complaint about the assault she and her family- sister Mona Seif and mother professor Laila Suef- </w:t>
      </w:r>
      <w:r w:rsidR="00F40A9D">
        <w:rPr>
          <w:rFonts w:asciiTheme="minorHAnsi" w:hAnsiTheme="minorHAnsi"/>
          <w:color w:val="00000A"/>
          <w:sz w:val="24"/>
          <w:szCs w:val="24"/>
          <w:lang w:bidi="ar-EG"/>
        </w:rPr>
        <w:t>had endured after demanding to be allowed to receive a written letter from her brother Alaa Abdel-Fattah, who is being detained over a state security case.</w:t>
      </w:r>
    </w:p>
    <w:p w:rsidR="00BD3825" w:rsidRDefault="00F40A9D" w:rsidP="00F468E6">
      <w:pPr>
        <w:pStyle w:val="Normal1"/>
        <w:widowControl w:val="0"/>
        <w:tabs>
          <w:tab w:val="left" w:pos="709"/>
        </w:tabs>
        <w:spacing w:after="120"/>
        <w:jc w:val="both"/>
        <w:rPr>
          <w:rFonts w:asciiTheme="minorHAnsi" w:hAnsiTheme="minorHAnsi"/>
          <w:color w:val="00000A"/>
          <w:sz w:val="24"/>
          <w:szCs w:val="24"/>
          <w:lang w:bidi="ar-EG"/>
        </w:rPr>
      </w:pPr>
      <w:r>
        <w:rPr>
          <w:rFonts w:asciiTheme="minorHAnsi" w:hAnsiTheme="minorHAnsi"/>
          <w:color w:val="00000A"/>
          <w:sz w:val="24"/>
          <w:szCs w:val="24"/>
          <w:lang w:bidi="ar-EG"/>
        </w:rPr>
        <w:t xml:space="preserve">The period covered by the report (April, May and June 2020) witnessed </w:t>
      </w:r>
      <w:r w:rsidRPr="00F40A9D">
        <w:rPr>
          <w:rFonts w:asciiTheme="minorHAnsi" w:hAnsiTheme="minorHAnsi"/>
          <w:color w:val="00000A"/>
          <w:sz w:val="24"/>
          <w:szCs w:val="24"/>
          <w:lang w:bidi="ar-EG"/>
        </w:rPr>
        <w:t>76 protest activities</w:t>
      </w:r>
      <w:r w:rsidR="00041371">
        <w:rPr>
          <w:rFonts w:asciiTheme="minorHAnsi" w:hAnsiTheme="minorHAnsi"/>
          <w:color w:val="00000A"/>
          <w:sz w:val="24"/>
          <w:szCs w:val="24"/>
          <w:lang w:bidi="ar-EG"/>
        </w:rPr>
        <w:t xml:space="preserve"> </w:t>
      </w:r>
      <w:r w:rsidR="00F468E6">
        <w:rPr>
          <w:rFonts w:asciiTheme="minorHAnsi" w:hAnsiTheme="minorHAnsi"/>
          <w:color w:val="00000A"/>
          <w:sz w:val="24"/>
          <w:szCs w:val="24"/>
          <w:lang w:bidi="ar-EG"/>
        </w:rPr>
        <w:t>which were organized by the different political forces. Of which, so</w:t>
      </w:r>
      <w:r w:rsidR="00F468E6" w:rsidRPr="00F468E6">
        <w:rPr>
          <w:rFonts w:asciiTheme="minorHAnsi" w:hAnsiTheme="minorHAnsi"/>
          <w:color w:val="00000A"/>
          <w:sz w:val="24"/>
          <w:szCs w:val="24"/>
          <w:lang w:bidi="ar-EG"/>
        </w:rPr>
        <w:t>cial and labor protes</w:t>
      </w:r>
      <w:r w:rsidR="00F468E6">
        <w:rPr>
          <w:rFonts w:asciiTheme="minorHAnsi" w:hAnsiTheme="minorHAnsi"/>
          <w:color w:val="00000A"/>
          <w:sz w:val="24"/>
          <w:szCs w:val="24"/>
          <w:lang w:bidi="ar-EG"/>
        </w:rPr>
        <w:t>ts were at the forefront with 41</w:t>
      </w:r>
      <w:r w:rsidR="00F468E6" w:rsidRPr="00F468E6">
        <w:rPr>
          <w:rFonts w:asciiTheme="minorHAnsi" w:hAnsiTheme="minorHAnsi"/>
          <w:color w:val="00000A"/>
          <w:sz w:val="24"/>
          <w:szCs w:val="24"/>
          <w:lang w:bidi="ar-EG"/>
        </w:rPr>
        <w:t xml:space="preserve"> protests, followed by the Muslim Brotherhood (MB) and the National Alliance to Support Legitimacy (NASL)</w:t>
      </w:r>
      <w:r w:rsidR="00F468E6">
        <w:rPr>
          <w:rFonts w:asciiTheme="minorHAnsi" w:hAnsiTheme="minorHAnsi"/>
          <w:color w:val="00000A"/>
          <w:sz w:val="24"/>
          <w:szCs w:val="24"/>
          <w:lang w:bidi="ar-EG"/>
        </w:rPr>
        <w:t>'s activities with 30 protests staged during that period</w:t>
      </w:r>
      <w:r w:rsidR="00F468E6" w:rsidRPr="00F468E6">
        <w:rPr>
          <w:rFonts w:asciiTheme="minorHAnsi" w:hAnsiTheme="minorHAnsi"/>
          <w:color w:val="00000A"/>
          <w:sz w:val="24"/>
          <w:szCs w:val="24"/>
          <w:lang w:bidi="ar-EG"/>
        </w:rPr>
        <w:t>.</w:t>
      </w:r>
    </w:p>
    <w:p w:rsidR="00F468E6" w:rsidRDefault="00F468E6" w:rsidP="00F468E6">
      <w:pPr>
        <w:pStyle w:val="Normal1"/>
        <w:widowControl w:val="0"/>
        <w:tabs>
          <w:tab w:val="left" w:pos="709"/>
        </w:tabs>
        <w:spacing w:after="120"/>
        <w:jc w:val="both"/>
        <w:rPr>
          <w:rFonts w:asciiTheme="minorHAnsi" w:hAnsiTheme="minorHAnsi"/>
          <w:color w:val="00000A"/>
          <w:sz w:val="24"/>
          <w:szCs w:val="24"/>
          <w:lang w:bidi="ar-EG"/>
        </w:rPr>
      </w:pPr>
      <w:r w:rsidRPr="00F468E6">
        <w:rPr>
          <w:rFonts w:asciiTheme="minorHAnsi" w:hAnsiTheme="minorHAnsi"/>
          <w:color w:val="00000A"/>
          <w:sz w:val="24"/>
          <w:szCs w:val="24"/>
          <w:lang w:bidi="ar-EG"/>
        </w:rPr>
        <w:lastRenderedPageBreak/>
        <w:t xml:space="preserve">Military trials of civilians also continued in the </w:t>
      </w:r>
      <w:r>
        <w:rPr>
          <w:rFonts w:asciiTheme="minorHAnsi" w:hAnsiTheme="minorHAnsi"/>
          <w:color w:val="00000A"/>
          <w:sz w:val="24"/>
          <w:szCs w:val="24"/>
          <w:lang w:bidi="ar-EG"/>
        </w:rPr>
        <w:t>second</w:t>
      </w:r>
      <w:r w:rsidRPr="00F468E6">
        <w:rPr>
          <w:rFonts w:asciiTheme="minorHAnsi" w:hAnsiTheme="minorHAnsi"/>
          <w:color w:val="00000A"/>
          <w:sz w:val="24"/>
          <w:szCs w:val="24"/>
          <w:lang w:bidi="ar-EG"/>
        </w:rPr>
        <w:t xml:space="preserve"> quarter of the year; as among the 4</w:t>
      </w:r>
      <w:r>
        <w:rPr>
          <w:rFonts w:asciiTheme="minorHAnsi" w:hAnsiTheme="minorHAnsi"/>
          <w:color w:val="00000A"/>
          <w:sz w:val="24"/>
          <w:szCs w:val="24"/>
          <w:lang w:bidi="ar-EG"/>
        </w:rPr>
        <w:t>6</w:t>
      </w:r>
      <w:r w:rsidRPr="00F468E6">
        <w:rPr>
          <w:rFonts w:asciiTheme="minorHAnsi" w:hAnsiTheme="minorHAnsi"/>
          <w:color w:val="00000A"/>
          <w:sz w:val="24"/>
          <w:szCs w:val="24"/>
          <w:lang w:bidi="ar-EG"/>
        </w:rPr>
        <w:t xml:space="preserve"> trials held during </w:t>
      </w:r>
      <w:r>
        <w:rPr>
          <w:rFonts w:asciiTheme="minorHAnsi" w:hAnsiTheme="minorHAnsi"/>
          <w:color w:val="00000A"/>
          <w:sz w:val="24"/>
          <w:szCs w:val="24"/>
          <w:lang w:bidi="ar-EG"/>
        </w:rPr>
        <w:t>the reporting</w:t>
      </w:r>
      <w:r w:rsidRPr="00F468E6">
        <w:rPr>
          <w:rFonts w:asciiTheme="minorHAnsi" w:hAnsiTheme="minorHAnsi"/>
          <w:color w:val="00000A"/>
          <w:sz w:val="24"/>
          <w:szCs w:val="24"/>
          <w:lang w:bidi="ar-EG"/>
        </w:rPr>
        <w:t xml:space="preserve"> period, there were </w:t>
      </w:r>
      <w:r>
        <w:rPr>
          <w:rFonts w:asciiTheme="minorHAnsi" w:hAnsiTheme="minorHAnsi"/>
          <w:color w:val="00000A"/>
          <w:sz w:val="24"/>
          <w:szCs w:val="24"/>
          <w:lang w:bidi="ar-EG"/>
        </w:rPr>
        <w:t>3 military trials for 827</w:t>
      </w:r>
      <w:r w:rsidRPr="00F468E6">
        <w:rPr>
          <w:rFonts w:asciiTheme="minorHAnsi" w:hAnsiTheme="minorHAnsi"/>
          <w:color w:val="00000A"/>
          <w:sz w:val="24"/>
          <w:szCs w:val="24"/>
          <w:lang w:bidi="ar-EG"/>
        </w:rPr>
        <w:t xml:space="preserve"> citizens.</w:t>
      </w:r>
    </w:p>
    <w:p w:rsidR="00F468E6" w:rsidRDefault="00F468E6" w:rsidP="00F468E6">
      <w:pPr>
        <w:pStyle w:val="Normal1"/>
        <w:widowControl w:val="0"/>
        <w:tabs>
          <w:tab w:val="left" w:pos="709"/>
        </w:tabs>
        <w:spacing w:after="120"/>
        <w:jc w:val="both"/>
        <w:rPr>
          <w:rFonts w:asciiTheme="minorHAnsi" w:hAnsiTheme="minorHAnsi"/>
          <w:color w:val="00000A"/>
          <w:sz w:val="24"/>
          <w:szCs w:val="24"/>
          <w:lang w:bidi="ar-EG"/>
        </w:rPr>
      </w:pPr>
      <w:r w:rsidRPr="00F468E6">
        <w:rPr>
          <w:rFonts w:asciiTheme="minorHAnsi" w:hAnsiTheme="minorHAnsi"/>
          <w:color w:val="00000A"/>
          <w:sz w:val="24"/>
          <w:szCs w:val="24"/>
          <w:lang w:bidi="ar-EG"/>
        </w:rPr>
        <w:t xml:space="preserve">Violations of media freedoms have not ceased during this period as well; with </w:t>
      </w:r>
      <w:r>
        <w:rPr>
          <w:rFonts w:asciiTheme="minorHAnsi" w:hAnsiTheme="minorHAnsi"/>
          <w:color w:val="00000A"/>
          <w:sz w:val="24"/>
          <w:szCs w:val="24"/>
          <w:lang w:bidi="ar-EG"/>
        </w:rPr>
        <w:t>40</w:t>
      </w:r>
      <w:r w:rsidRPr="00F468E6">
        <w:rPr>
          <w:rFonts w:asciiTheme="minorHAnsi" w:hAnsiTheme="minorHAnsi"/>
          <w:color w:val="00000A"/>
          <w:sz w:val="24"/>
          <w:szCs w:val="24"/>
          <w:lang w:bidi="ar-EG"/>
        </w:rPr>
        <w:t xml:space="preserve"> cases of violations recorded, most notably </w:t>
      </w:r>
      <w:r>
        <w:rPr>
          <w:rFonts w:asciiTheme="minorHAnsi" w:hAnsiTheme="minorHAnsi"/>
          <w:color w:val="00000A"/>
          <w:sz w:val="24"/>
          <w:szCs w:val="24"/>
          <w:lang w:bidi="ar-EG"/>
        </w:rPr>
        <w:t xml:space="preserve">with respect to </w:t>
      </w:r>
      <w:r w:rsidRPr="00F468E6">
        <w:rPr>
          <w:rFonts w:asciiTheme="minorHAnsi" w:hAnsiTheme="minorHAnsi"/>
          <w:color w:val="00000A"/>
          <w:sz w:val="24"/>
          <w:szCs w:val="24"/>
          <w:lang w:bidi="ar-EG"/>
        </w:rPr>
        <w:t xml:space="preserve">the investigations conducted by the </w:t>
      </w:r>
      <w:r>
        <w:rPr>
          <w:rFonts w:asciiTheme="minorHAnsi" w:hAnsiTheme="minorHAnsi"/>
          <w:color w:val="00000A"/>
          <w:sz w:val="24"/>
          <w:szCs w:val="24"/>
          <w:lang w:bidi="ar-EG"/>
        </w:rPr>
        <w:t>competent prosecutions and during the detention renewal sessions, which amounted to 14 violations</w:t>
      </w:r>
      <w:r w:rsidRPr="00F468E6">
        <w:rPr>
          <w:rFonts w:asciiTheme="minorHAnsi" w:hAnsiTheme="minorHAnsi"/>
          <w:color w:val="00000A"/>
          <w:sz w:val="24"/>
          <w:szCs w:val="24"/>
          <w:lang w:bidi="ar-EG"/>
        </w:rPr>
        <w:t xml:space="preserve"> during the period covered by the report.</w:t>
      </w:r>
    </w:p>
    <w:p w:rsidR="00F468E6" w:rsidRPr="00CD08FD" w:rsidRDefault="00F468E6" w:rsidP="00F468E6">
      <w:pPr>
        <w:pStyle w:val="Normal1"/>
        <w:widowControl w:val="0"/>
        <w:tabs>
          <w:tab w:val="left" w:pos="709"/>
        </w:tabs>
        <w:spacing w:after="120"/>
        <w:jc w:val="both"/>
        <w:rPr>
          <w:rFonts w:asciiTheme="minorHAnsi" w:hAnsiTheme="minorHAnsi"/>
          <w:color w:val="00000A"/>
          <w:sz w:val="24"/>
          <w:szCs w:val="24"/>
          <w:lang w:bidi="ar-EG"/>
        </w:rPr>
      </w:pPr>
      <w:r w:rsidRPr="00F468E6">
        <w:rPr>
          <w:rFonts w:asciiTheme="minorHAnsi" w:hAnsiTheme="minorHAnsi"/>
          <w:color w:val="00000A"/>
          <w:sz w:val="24"/>
          <w:szCs w:val="24"/>
          <w:lang w:bidi="ar-EG"/>
        </w:rPr>
        <w:t xml:space="preserve">On the other hand, the number of terrorist operations has </w:t>
      </w:r>
      <w:r>
        <w:rPr>
          <w:rFonts w:asciiTheme="minorHAnsi" w:hAnsiTheme="minorHAnsi"/>
          <w:color w:val="00000A"/>
          <w:sz w:val="24"/>
          <w:szCs w:val="24"/>
          <w:lang w:bidi="ar-EG"/>
        </w:rPr>
        <w:t>continued to decline</w:t>
      </w:r>
      <w:r w:rsidRPr="00F468E6">
        <w:rPr>
          <w:rFonts w:asciiTheme="minorHAnsi" w:hAnsiTheme="minorHAnsi"/>
          <w:color w:val="00000A"/>
          <w:sz w:val="24"/>
          <w:szCs w:val="24"/>
          <w:lang w:bidi="ar-EG"/>
        </w:rPr>
        <w:t xml:space="preserve"> compared to the previous years; as the </w:t>
      </w:r>
      <w:r>
        <w:rPr>
          <w:rFonts w:asciiTheme="minorHAnsi" w:hAnsiTheme="minorHAnsi"/>
          <w:color w:val="00000A"/>
          <w:sz w:val="24"/>
          <w:szCs w:val="24"/>
          <w:lang w:bidi="ar-EG"/>
        </w:rPr>
        <w:t>second</w:t>
      </w:r>
      <w:r w:rsidRPr="00F468E6">
        <w:rPr>
          <w:rFonts w:asciiTheme="minorHAnsi" w:hAnsiTheme="minorHAnsi"/>
          <w:color w:val="00000A"/>
          <w:sz w:val="24"/>
          <w:szCs w:val="24"/>
          <w:lang w:bidi="ar-EG"/>
        </w:rPr>
        <w:t xml:space="preserve"> quarter of 2020 witnessed only </w:t>
      </w:r>
      <w:r>
        <w:rPr>
          <w:rFonts w:asciiTheme="minorHAnsi" w:hAnsiTheme="minorHAnsi"/>
          <w:color w:val="00000A"/>
          <w:sz w:val="24"/>
          <w:szCs w:val="24"/>
          <w:lang w:bidi="ar-EG"/>
        </w:rPr>
        <w:t>8</w:t>
      </w:r>
      <w:r w:rsidRPr="00F468E6">
        <w:rPr>
          <w:rFonts w:asciiTheme="minorHAnsi" w:hAnsiTheme="minorHAnsi"/>
          <w:color w:val="00000A"/>
          <w:sz w:val="24"/>
          <w:szCs w:val="24"/>
          <w:lang w:bidi="ar-EG"/>
        </w:rPr>
        <w:t xml:space="preserve"> terrorist operations, three of which were carried out using improvised explosive device</w:t>
      </w:r>
      <w:r w:rsidR="00BF55D8">
        <w:rPr>
          <w:rFonts w:asciiTheme="minorHAnsi" w:hAnsiTheme="minorHAnsi"/>
          <w:color w:val="00000A"/>
          <w:sz w:val="24"/>
          <w:szCs w:val="24"/>
          <w:lang w:bidi="ar-EG"/>
        </w:rPr>
        <w:t>s</w:t>
      </w:r>
      <w:r w:rsidRPr="00F468E6">
        <w:rPr>
          <w:rFonts w:asciiTheme="minorHAnsi" w:hAnsiTheme="minorHAnsi"/>
          <w:color w:val="00000A"/>
          <w:sz w:val="24"/>
          <w:szCs w:val="24"/>
          <w:lang w:bidi="ar-EG"/>
        </w:rPr>
        <w:t xml:space="preserve"> while the security forces managed to thwart the other </w:t>
      </w:r>
      <w:r>
        <w:rPr>
          <w:rFonts w:asciiTheme="minorHAnsi" w:hAnsiTheme="minorHAnsi"/>
          <w:color w:val="00000A"/>
          <w:sz w:val="24"/>
          <w:szCs w:val="24"/>
          <w:lang w:bidi="ar-EG"/>
        </w:rPr>
        <w:t>five operations</w:t>
      </w:r>
      <w:r w:rsidRPr="00F468E6">
        <w:rPr>
          <w:rFonts w:asciiTheme="minorHAnsi" w:hAnsiTheme="minorHAnsi"/>
          <w:color w:val="00000A"/>
          <w:sz w:val="24"/>
          <w:szCs w:val="24"/>
          <w:lang w:bidi="ar-EG"/>
        </w:rPr>
        <w:t>.</w:t>
      </w:r>
    </w:p>
    <w:p w:rsidR="00472320" w:rsidRPr="00D267B5" w:rsidRDefault="00472320">
      <w:pPr>
        <w:pStyle w:val="Normal1"/>
        <w:widowControl w:val="0"/>
        <w:tabs>
          <w:tab w:val="left" w:pos="709"/>
        </w:tabs>
        <w:bidi/>
        <w:spacing w:after="120"/>
        <w:jc w:val="both"/>
        <w:rPr>
          <w:rFonts w:asciiTheme="minorHAnsi" w:hAnsiTheme="minorHAnsi"/>
          <w:b/>
          <w:bCs/>
          <w:color w:val="C00000"/>
          <w:sz w:val="26"/>
          <w:szCs w:val="26"/>
          <w:rtl/>
          <w:lang w:bidi="ar-EG"/>
        </w:rPr>
      </w:pPr>
    </w:p>
    <w:p w:rsidR="00BD3825" w:rsidRPr="00724A01" w:rsidRDefault="00BD3825" w:rsidP="001D475D">
      <w:pPr>
        <w:bidi w:val="0"/>
        <w:spacing w:after="240" w:line="240" w:lineRule="auto"/>
        <w:jc w:val="center"/>
        <w:rPr>
          <w:rFonts w:asciiTheme="minorHAnsi" w:eastAsia="Times New Roman" w:hAnsiTheme="minorHAnsi" w:cs="Times New Roman"/>
          <w:b/>
          <w:bCs/>
          <w:color w:val="000000"/>
          <w:sz w:val="24"/>
          <w:szCs w:val="24"/>
          <w:u w:val="single"/>
        </w:rPr>
      </w:pPr>
      <w:r w:rsidRPr="00724A01">
        <w:rPr>
          <w:rFonts w:asciiTheme="minorHAnsi" w:eastAsia="Times New Roman" w:hAnsiTheme="minorHAnsi" w:cs="Times New Roman"/>
          <w:b/>
          <w:bCs/>
          <w:color w:val="000000"/>
          <w:sz w:val="24"/>
          <w:szCs w:val="24"/>
          <w:u w:val="single"/>
        </w:rPr>
        <w:t xml:space="preserve">The details of the state of the democratic path during the </w:t>
      </w:r>
      <w:r w:rsidR="001D475D" w:rsidRPr="00724A01">
        <w:rPr>
          <w:rFonts w:asciiTheme="minorHAnsi" w:eastAsia="Times New Roman" w:hAnsiTheme="minorHAnsi" w:cs="Times New Roman"/>
          <w:b/>
          <w:bCs/>
          <w:color w:val="000000"/>
          <w:sz w:val="24"/>
          <w:szCs w:val="24"/>
          <w:u w:val="single"/>
        </w:rPr>
        <w:t>2</w:t>
      </w:r>
      <w:r w:rsidR="001D475D" w:rsidRPr="00724A01">
        <w:rPr>
          <w:rFonts w:asciiTheme="minorHAnsi" w:eastAsia="Times New Roman" w:hAnsiTheme="minorHAnsi" w:cs="Times New Roman"/>
          <w:b/>
          <w:bCs/>
          <w:color w:val="000000"/>
          <w:sz w:val="24"/>
          <w:szCs w:val="24"/>
          <w:u w:val="single"/>
          <w:vertAlign w:val="superscript"/>
        </w:rPr>
        <w:t>nd</w:t>
      </w:r>
      <w:r w:rsidR="001D475D" w:rsidRPr="00724A01">
        <w:rPr>
          <w:rFonts w:asciiTheme="minorHAnsi" w:eastAsia="Times New Roman" w:hAnsiTheme="minorHAnsi" w:cs="Times New Roman"/>
          <w:b/>
          <w:bCs/>
          <w:color w:val="000000"/>
          <w:sz w:val="24"/>
          <w:szCs w:val="24"/>
          <w:u w:val="single"/>
        </w:rPr>
        <w:t xml:space="preserve"> </w:t>
      </w:r>
      <w:r w:rsidRPr="00724A01">
        <w:rPr>
          <w:rFonts w:asciiTheme="minorHAnsi" w:eastAsia="Times New Roman" w:hAnsiTheme="minorHAnsi" w:cs="Times New Roman"/>
          <w:b/>
          <w:bCs/>
          <w:color w:val="000000"/>
          <w:sz w:val="24"/>
          <w:szCs w:val="24"/>
          <w:u w:val="single"/>
        </w:rPr>
        <w:t>quarter of 2020 are outlined, in numbers and percentages, as follows:</w:t>
      </w:r>
    </w:p>
    <w:p w:rsidR="001D475D" w:rsidRPr="001D475D" w:rsidRDefault="001D475D" w:rsidP="001D475D">
      <w:pPr>
        <w:bidi w:val="0"/>
        <w:spacing w:after="240" w:line="240" w:lineRule="auto"/>
        <w:jc w:val="both"/>
        <w:rPr>
          <w:rFonts w:asciiTheme="minorHAnsi" w:eastAsia="Times New Roman" w:hAnsiTheme="minorHAnsi" w:cs="Times New Roman"/>
          <w:sz w:val="24"/>
          <w:szCs w:val="24"/>
        </w:rPr>
      </w:pPr>
      <w:r w:rsidRPr="001D475D">
        <w:rPr>
          <w:rFonts w:asciiTheme="minorHAnsi" w:eastAsia="Times New Roman" w:hAnsiTheme="minorHAnsi" w:cs="Times New Roman"/>
          <w:b/>
          <w:bCs/>
          <w:color w:val="000000"/>
          <w:sz w:val="24"/>
          <w:szCs w:val="24"/>
          <w:u w:val="single"/>
        </w:rPr>
        <w:t>First: Protest events</w:t>
      </w:r>
    </w:p>
    <w:p w:rsidR="001D475D" w:rsidRPr="001D475D" w:rsidRDefault="001D475D" w:rsidP="001D475D">
      <w:pPr>
        <w:bidi w:val="0"/>
        <w:spacing w:after="240" w:line="240" w:lineRule="auto"/>
        <w:jc w:val="both"/>
        <w:rPr>
          <w:rFonts w:asciiTheme="minorHAnsi" w:eastAsia="Times New Roman" w:hAnsiTheme="minorHAnsi" w:cs="Times New Roman"/>
          <w:sz w:val="24"/>
          <w:szCs w:val="24"/>
        </w:rPr>
      </w:pPr>
      <w:r w:rsidRPr="001D475D">
        <w:rPr>
          <w:rFonts w:asciiTheme="minorHAnsi" w:eastAsia="Times New Roman" w:hAnsiTheme="minorHAnsi" w:cs="Times New Roman"/>
          <w:color w:val="000000"/>
          <w:sz w:val="24"/>
          <w:szCs w:val="24"/>
        </w:rPr>
        <w:t xml:space="preserve">During the </w:t>
      </w:r>
      <w:r w:rsidRPr="00724A01">
        <w:rPr>
          <w:rFonts w:asciiTheme="minorHAnsi" w:eastAsia="Times New Roman" w:hAnsiTheme="minorHAnsi" w:cs="Times New Roman"/>
          <w:color w:val="000000"/>
          <w:sz w:val="24"/>
          <w:szCs w:val="24"/>
        </w:rPr>
        <w:t>second</w:t>
      </w:r>
      <w:r w:rsidRPr="001D475D">
        <w:rPr>
          <w:rFonts w:asciiTheme="minorHAnsi" w:eastAsia="Times New Roman" w:hAnsiTheme="minorHAnsi" w:cs="Times New Roman"/>
          <w:color w:val="000000"/>
          <w:sz w:val="24"/>
          <w:szCs w:val="24"/>
        </w:rPr>
        <w:t xml:space="preserve"> quarter of the year, the various forces organized </w:t>
      </w:r>
      <w:r w:rsidRPr="00724A01">
        <w:rPr>
          <w:rFonts w:asciiTheme="minorHAnsi" w:eastAsia="Times New Roman" w:hAnsiTheme="minorHAnsi" w:cs="Times New Roman"/>
          <w:color w:val="000000"/>
          <w:sz w:val="24"/>
          <w:szCs w:val="24"/>
        </w:rPr>
        <w:t>76</w:t>
      </w:r>
      <w:r w:rsidRPr="001D475D">
        <w:rPr>
          <w:rFonts w:asciiTheme="minorHAnsi" w:eastAsia="Times New Roman" w:hAnsiTheme="minorHAnsi" w:cs="Times New Roman"/>
          <w:color w:val="000000"/>
          <w:sz w:val="24"/>
          <w:szCs w:val="24"/>
        </w:rPr>
        <w:t xml:space="preserve"> different events, and their distribution was as follows: </w:t>
      </w:r>
    </w:p>
    <w:p w:rsidR="001D475D" w:rsidRPr="001D475D" w:rsidRDefault="001D475D" w:rsidP="001D475D">
      <w:pPr>
        <w:bidi w:val="0"/>
        <w:spacing w:after="240" w:line="240" w:lineRule="auto"/>
        <w:jc w:val="both"/>
        <w:rPr>
          <w:rFonts w:asciiTheme="minorHAnsi" w:eastAsia="Times New Roman" w:hAnsiTheme="minorHAnsi" w:cs="Times New Roman"/>
          <w:sz w:val="24"/>
          <w:szCs w:val="24"/>
        </w:rPr>
      </w:pPr>
      <w:r w:rsidRPr="00724A01">
        <w:rPr>
          <w:rFonts w:asciiTheme="minorHAnsi" w:eastAsia="Times New Roman" w:hAnsiTheme="minorHAnsi" w:cs="Times New Roman"/>
          <w:color w:val="000000"/>
          <w:sz w:val="24"/>
          <w:szCs w:val="24"/>
        </w:rPr>
        <w:t>* Social and labor protests: 41</w:t>
      </w:r>
      <w:r w:rsidRPr="001D475D">
        <w:rPr>
          <w:rFonts w:asciiTheme="minorHAnsi" w:eastAsia="Times New Roman" w:hAnsiTheme="minorHAnsi" w:cs="Times New Roman"/>
          <w:color w:val="000000"/>
          <w:sz w:val="24"/>
          <w:szCs w:val="24"/>
        </w:rPr>
        <w:t xml:space="preserve"> protest events </w:t>
      </w:r>
    </w:p>
    <w:p w:rsidR="001D475D" w:rsidRPr="001D475D" w:rsidRDefault="001D475D" w:rsidP="001D475D">
      <w:pPr>
        <w:bidi w:val="0"/>
        <w:spacing w:after="240" w:line="240" w:lineRule="auto"/>
        <w:jc w:val="both"/>
        <w:rPr>
          <w:rFonts w:asciiTheme="minorHAnsi" w:eastAsia="Times New Roman" w:hAnsiTheme="minorHAnsi" w:cs="Times New Roman"/>
          <w:sz w:val="24"/>
          <w:szCs w:val="24"/>
        </w:rPr>
      </w:pPr>
      <w:r w:rsidRPr="001D475D">
        <w:rPr>
          <w:rFonts w:asciiTheme="minorHAnsi" w:eastAsia="Times New Roman" w:hAnsiTheme="minorHAnsi" w:cs="Times New Roman"/>
          <w:color w:val="000000"/>
          <w:sz w:val="24"/>
          <w:szCs w:val="24"/>
        </w:rPr>
        <w:t>* Muslim Brotherhood (MB) and the National Alliance to Support Legitimacy (NASL): 3</w:t>
      </w:r>
      <w:r w:rsidRPr="00724A01">
        <w:rPr>
          <w:rFonts w:asciiTheme="minorHAnsi" w:eastAsia="Times New Roman" w:hAnsiTheme="minorHAnsi" w:cs="Times New Roman"/>
          <w:color w:val="000000"/>
          <w:sz w:val="24"/>
          <w:szCs w:val="24"/>
        </w:rPr>
        <w:t>0</w:t>
      </w:r>
    </w:p>
    <w:p w:rsidR="001D475D" w:rsidRPr="00724A01" w:rsidRDefault="00417545" w:rsidP="00417545">
      <w:pPr>
        <w:bidi w:val="0"/>
        <w:spacing w:after="240" w:line="240" w:lineRule="auto"/>
        <w:jc w:val="both"/>
        <w:rPr>
          <w:rFonts w:asciiTheme="minorHAnsi" w:eastAsia="Times New Roman" w:hAnsiTheme="minorHAnsi" w:cs="Times New Roman"/>
          <w:sz w:val="24"/>
          <w:szCs w:val="24"/>
        </w:rPr>
      </w:pPr>
      <w:r>
        <w:rPr>
          <w:rFonts w:asciiTheme="minorHAnsi" w:hAnsiTheme="minorHAnsi"/>
          <w:noProof/>
          <w:rtl/>
        </w:rPr>
        <w:drawing>
          <wp:anchor distT="0" distB="0" distL="114300" distR="114300" simplePos="0" relativeHeight="251651584" behindDoc="0" locked="0" layoutInCell="1" allowOverlap="1">
            <wp:simplePos x="0" y="0"/>
            <wp:positionH relativeFrom="column">
              <wp:posOffset>-160020</wp:posOffset>
            </wp:positionH>
            <wp:positionV relativeFrom="paragraph">
              <wp:posOffset>339090</wp:posOffset>
            </wp:positionV>
            <wp:extent cx="5943600" cy="31597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فعاليات-الاحتجاجية-بحسب-القوى-المنظمة-لها.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59760"/>
                    </a:xfrm>
                    <a:prstGeom prst="rect">
                      <a:avLst/>
                    </a:prstGeom>
                  </pic:spPr>
                </pic:pic>
              </a:graphicData>
            </a:graphic>
          </wp:anchor>
        </w:drawing>
      </w:r>
      <w:r w:rsidR="001D475D" w:rsidRPr="001D475D">
        <w:rPr>
          <w:rFonts w:asciiTheme="minorHAnsi" w:eastAsia="Times New Roman" w:hAnsiTheme="minorHAnsi" w:cs="Times New Roman"/>
          <w:color w:val="000000"/>
          <w:sz w:val="24"/>
          <w:szCs w:val="24"/>
        </w:rPr>
        <w:t xml:space="preserve">* Student protests: </w:t>
      </w:r>
      <w:r w:rsidR="001D475D" w:rsidRPr="00724A01">
        <w:rPr>
          <w:rFonts w:asciiTheme="minorHAnsi" w:eastAsia="Times New Roman" w:hAnsiTheme="minorHAnsi" w:cs="Times New Roman"/>
          <w:color w:val="000000"/>
          <w:sz w:val="24"/>
          <w:szCs w:val="24"/>
        </w:rPr>
        <w:t>4</w:t>
      </w:r>
      <w:r w:rsidR="001D475D" w:rsidRPr="001D475D">
        <w:rPr>
          <w:rFonts w:asciiTheme="minorHAnsi" w:eastAsia="Times New Roman" w:hAnsiTheme="minorHAnsi" w:cs="Times New Roman"/>
          <w:color w:val="000000"/>
          <w:sz w:val="24"/>
          <w:szCs w:val="24"/>
        </w:rPr>
        <w:t xml:space="preserve"> * </w:t>
      </w:r>
      <w:r w:rsidR="001D475D" w:rsidRPr="00724A01">
        <w:rPr>
          <w:rFonts w:asciiTheme="minorHAnsi" w:eastAsia="Times New Roman" w:hAnsiTheme="minorHAnsi" w:cs="Times New Roman"/>
          <w:color w:val="000000"/>
          <w:sz w:val="24"/>
          <w:szCs w:val="24"/>
        </w:rPr>
        <w:t>Civil powers</w:t>
      </w:r>
      <w:r w:rsidR="001D475D" w:rsidRPr="001D475D">
        <w:rPr>
          <w:rFonts w:asciiTheme="minorHAnsi" w:eastAsia="Times New Roman" w:hAnsiTheme="minorHAnsi" w:cs="Times New Roman"/>
          <w:color w:val="000000"/>
          <w:sz w:val="24"/>
          <w:szCs w:val="24"/>
        </w:rPr>
        <w:t xml:space="preserve"> protests: </w:t>
      </w:r>
      <w:r w:rsidR="001D475D" w:rsidRPr="00724A01">
        <w:rPr>
          <w:rFonts w:asciiTheme="minorHAnsi" w:eastAsia="Times New Roman" w:hAnsiTheme="minorHAnsi" w:cs="Times New Roman"/>
          <w:color w:val="000000"/>
          <w:sz w:val="24"/>
          <w:szCs w:val="24"/>
        </w:rPr>
        <w:t>1</w:t>
      </w:r>
    </w:p>
    <w:p w:rsidR="00472320" w:rsidRPr="00724A01" w:rsidRDefault="00472320">
      <w:pPr>
        <w:pStyle w:val="Normal1"/>
        <w:widowControl w:val="0"/>
        <w:tabs>
          <w:tab w:val="left" w:pos="709"/>
        </w:tabs>
        <w:bidi/>
        <w:spacing w:after="120"/>
        <w:jc w:val="both"/>
        <w:rPr>
          <w:rFonts w:asciiTheme="minorHAnsi" w:hAnsiTheme="minorHAnsi"/>
          <w:rtl/>
          <w:lang w:bidi="ar-EG"/>
        </w:rPr>
      </w:pPr>
    </w:p>
    <w:p w:rsidR="001D475D" w:rsidRPr="00724A01" w:rsidRDefault="001D475D" w:rsidP="001D475D">
      <w:pPr>
        <w:bidi w:val="0"/>
        <w:spacing w:after="240" w:line="240" w:lineRule="auto"/>
        <w:rPr>
          <w:rFonts w:asciiTheme="minorHAnsi" w:eastAsia="Times New Roman" w:hAnsiTheme="minorHAnsi" w:cs="Times New Roman"/>
          <w:sz w:val="24"/>
          <w:szCs w:val="24"/>
        </w:rPr>
      </w:pPr>
      <w:r w:rsidRPr="001D475D">
        <w:rPr>
          <w:rFonts w:asciiTheme="minorHAnsi" w:eastAsia="Times New Roman" w:hAnsiTheme="minorHAnsi" w:cs="Times New Roman"/>
          <w:color w:val="000000"/>
          <w:sz w:val="24"/>
          <w:szCs w:val="24"/>
        </w:rPr>
        <w:lastRenderedPageBreak/>
        <w:t xml:space="preserve">The month of </w:t>
      </w:r>
      <w:r w:rsidRPr="00724A01">
        <w:rPr>
          <w:rFonts w:asciiTheme="minorHAnsi" w:eastAsia="Times New Roman" w:hAnsiTheme="minorHAnsi" w:cs="Times New Roman"/>
          <w:color w:val="000000"/>
          <w:sz w:val="24"/>
          <w:szCs w:val="24"/>
        </w:rPr>
        <w:t>May</w:t>
      </w:r>
      <w:r w:rsidRPr="001D475D">
        <w:rPr>
          <w:rFonts w:asciiTheme="minorHAnsi" w:eastAsia="Times New Roman" w:hAnsiTheme="minorHAnsi" w:cs="Times New Roman"/>
          <w:color w:val="000000"/>
          <w:sz w:val="24"/>
          <w:szCs w:val="24"/>
        </w:rPr>
        <w:t xml:space="preserve"> came first in witnessing the largest number of protest events </w:t>
      </w:r>
      <w:r w:rsidRPr="00724A01">
        <w:rPr>
          <w:rFonts w:asciiTheme="minorHAnsi" w:eastAsia="Times New Roman" w:hAnsiTheme="minorHAnsi" w:cs="Times New Roman"/>
          <w:color w:val="000000"/>
          <w:sz w:val="24"/>
          <w:szCs w:val="24"/>
        </w:rPr>
        <w:t>with</w:t>
      </w:r>
      <w:r w:rsidRPr="001D475D">
        <w:rPr>
          <w:rFonts w:asciiTheme="minorHAnsi" w:eastAsia="Times New Roman" w:hAnsiTheme="minorHAnsi" w:cs="Times New Roman"/>
          <w:color w:val="000000"/>
          <w:sz w:val="24"/>
          <w:szCs w:val="24"/>
        </w:rPr>
        <w:t xml:space="preserve"> </w:t>
      </w:r>
      <w:r w:rsidRPr="00724A01">
        <w:rPr>
          <w:rFonts w:asciiTheme="minorHAnsi" w:eastAsia="Times New Roman" w:hAnsiTheme="minorHAnsi" w:cs="Times New Roman"/>
          <w:color w:val="000000"/>
          <w:sz w:val="24"/>
          <w:szCs w:val="24"/>
        </w:rPr>
        <w:t>29</w:t>
      </w:r>
      <w:r w:rsidRPr="001D475D">
        <w:rPr>
          <w:rFonts w:asciiTheme="minorHAnsi" w:eastAsia="Times New Roman" w:hAnsiTheme="minorHAnsi" w:cs="Times New Roman"/>
          <w:color w:val="000000"/>
          <w:sz w:val="24"/>
          <w:szCs w:val="24"/>
        </w:rPr>
        <w:t xml:space="preserve"> different protests, as shown in the following table:</w:t>
      </w:r>
    </w:p>
    <w:tbl>
      <w:tblPr>
        <w:tblStyle w:val="TableGrid"/>
        <w:tblW w:w="0" w:type="auto"/>
        <w:tblLook w:val="04A0" w:firstRow="1" w:lastRow="0" w:firstColumn="1" w:lastColumn="0" w:noHBand="0" w:noVBand="1"/>
      </w:tblPr>
      <w:tblGrid>
        <w:gridCol w:w="2338"/>
        <w:gridCol w:w="2336"/>
        <w:gridCol w:w="2337"/>
        <w:gridCol w:w="2339"/>
      </w:tblGrid>
      <w:tr w:rsidR="001D475D" w:rsidRPr="00724A01" w:rsidTr="001D475D">
        <w:tc>
          <w:tcPr>
            <w:tcW w:w="2394" w:type="dxa"/>
          </w:tcPr>
          <w:p w:rsidR="001D475D" w:rsidRPr="00724A01" w:rsidRDefault="001D475D" w:rsidP="001D475D">
            <w:pPr>
              <w:bidi w:val="0"/>
              <w:spacing w:after="24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sz w:val="24"/>
                <w:szCs w:val="24"/>
              </w:rPr>
              <w:t xml:space="preserve">April </w:t>
            </w:r>
          </w:p>
        </w:tc>
        <w:tc>
          <w:tcPr>
            <w:tcW w:w="2394" w:type="dxa"/>
          </w:tcPr>
          <w:p w:rsidR="001D475D" w:rsidRPr="00724A01" w:rsidRDefault="001D475D" w:rsidP="001D475D">
            <w:pPr>
              <w:bidi w:val="0"/>
              <w:spacing w:after="24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sz w:val="24"/>
                <w:szCs w:val="24"/>
              </w:rPr>
              <w:t>May</w:t>
            </w:r>
          </w:p>
        </w:tc>
        <w:tc>
          <w:tcPr>
            <w:tcW w:w="2394" w:type="dxa"/>
          </w:tcPr>
          <w:p w:rsidR="001D475D" w:rsidRPr="00724A01" w:rsidRDefault="001D475D" w:rsidP="001D475D">
            <w:pPr>
              <w:bidi w:val="0"/>
              <w:spacing w:after="24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sz w:val="24"/>
                <w:szCs w:val="24"/>
              </w:rPr>
              <w:t>June</w:t>
            </w:r>
          </w:p>
        </w:tc>
        <w:tc>
          <w:tcPr>
            <w:tcW w:w="2394" w:type="dxa"/>
          </w:tcPr>
          <w:p w:rsidR="001D475D" w:rsidRPr="00724A01" w:rsidRDefault="001D475D" w:rsidP="001D475D">
            <w:pPr>
              <w:bidi w:val="0"/>
              <w:spacing w:after="24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sz w:val="24"/>
                <w:szCs w:val="24"/>
              </w:rPr>
              <w:t xml:space="preserve">Total </w:t>
            </w:r>
          </w:p>
        </w:tc>
      </w:tr>
      <w:tr w:rsidR="001D475D" w:rsidRPr="00724A01" w:rsidTr="001D475D">
        <w:tc>
          <w:tcPr>
            <w:tcW w:w="2394" w:type="dxa"/>
          </w:tcPr>
          <w:p w:rsidR="001D475D" w:rsidRPr="00724A01" w:rsidRDefault="001D475D" w:rsidP="001D475D">
            <w:pPr>
              <w:bidi w:val="0"/>
              <w:spacing w:after="24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sz w:val="24"/>
                <w:szCs w:val="24"/>
              </w:rPr>
              <w:t>76</w:t>
            </w:r>
          </w:p>
        </w:tc>
        <w:tc>
          <w:tcPr>
            <w:tcW w:w="2394" w:type="dxa"/>
          </w:tcPr>
          <w:p w:rsidR="001D475D" w:rsidRPr="00724A01" w:rsidRDefault="001D475D" w:rsidP="001D475D">
            <w:pPr>
              <w:bidi w:val="0"/>
              <w:spacing w:after="24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sz w:val="24"/>
                <w:szCs w:val="24"/>
              </w:rPr>
              <w:t>23</w:t>
            </w:r>
          </w:p>
        </w:tc>
        <w:tc>
          <w:tcPr>
            <w:tcW w:w="2394" w:type="dxa"/>
          </w:tcPr>
          <w:p w:rsidR="001D475D" w:rsidRPr="00724A01" w:rsidRDefault="001D475D" w:rsidP="001D475D">
            <w:pPr>
              <w:bidi w:val="0"/>
              <w:spacing w:after="24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sz w:val="24"/>
                <w:szCs w:val="24"/>
              </w:rPr>
              <w:t>29</w:t>
            </w:r>
          </w:p>
        </w:tc>
        <w:tc>
          <w:tcPr>
            <w:tcW w:w="2394" w:type="dxa"/>
          </w:tcPr>
          <w:p w:rsidR="001D475D" w:rsidRPr="00724A01" w:rsidRDefault="001D475D" w:rsidP="001D475D">
            <w:pPr>
              <w:bidi w:val="0"/>
              <w:spacing w:after="24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sz w:val="24"/>
                <w:szCs w:val="24"/>
              </w:rPr>
              <w:t>24</w:t>
            </w:r>
          </w:p>
        </w:tc>
      </w:tr>
    </w:tbl>
    <w:p w:rsidR="00D267B5" w:rsidRDefault="00D267B5" w:rsidP="00724A01">
      <w:pPr>
        <w:bidi w:val="0"/>
        <w:spacing w:after="240" w:line="240" w:lineRule="auto"/>
        <w:rPr>
          <w:rFonts w:asciiTheme="minorHAnsi" w:eastAsia="Times New Roman" w:hAnsiTheme="minorHAnsi" w:cs="Times New Roman"/>
          <w:sz w:val="24"/>
          <w:szCs w:val="24"/>
        </w:rPr>
      </w:pPr>
    </w:p>
    <w:p w:rsidR="001D475D" w:rsidRPr="001D475D" w:rsidRDefault="00567588" w:rsidP="00D267B5">
      <w:pPr>
        <w:bidi w:val="0"/>
        <w:spacing w:after="240" w:line="240" w:lineRule="auto"/>
        <w:rPr>
          <w:rFonts w:asciiTheme="minorHAnsi" w:eastAsia="Times New Roman" w:hAnsiTheme="minorHAnsi" w:cs="Times New Roman"/>
          <w:sz w:val="24"/>
          <w:szCs w:val="24"/>
        </w:rPr>
      </w:pPr>
      <w:r>
        <w:rPr>
          <w:rFonts w:asciiTheme="minorHAnsi" w:eastAsia="Times New Roman" w:hAnsiTheme="minorHAnsi" w:cs="Times New Roman"/>
          <w:b/>
          <w:bCs/>
          <w:noProof/>
          <w:color w:val="000000"/>
          <w:sz w:val="24"/>
          <w:szCs w:val="24"/>
          <w:u w:val="single"/>
        </w:rPr>
        <w:drawing>
          <wp:anchor distT="0" distB="0" distL="114300" distR="114300" simplePos="0" relativeHeight="251652608" behindDoc="0" locked="0" layoutInCell="1" allowOverlap="1">
            <wp:simplePos x="0" y="0"/>
            <wp:positionH relativeFrom="column">
              <wp:posOffset>937260</wp:posOffset>
            </wp:positionH>
            <wp:positionV relativeFrom="paragraph">
              <wp:posOffset>565150</wp:posOffset>
            </wp:positionV>
            <wp:extent cx="3497580" cy="31388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أعتداءات-على-الفعاليات-الاحتجاجية.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7580" cy="3138805"/>
                    </a:xfrm>
                    <a:prstGeom prst="rect">
                      <a:avLst/>
                    </a:prstGeom>
                  </pic:spPr>
                </pic:pic>
              </a:graphicData>
            </a:graphic>
            <wp14:sizeRelH relativeFrom="margin">
              <wp14:pctWidth>0</wp14:pctWidth>
            </wp14:sizeRelH>
            <wp14:sizeRelV relativeFrom="margin">
              <wp14:pctHeight>0</wp14:pctHeight>
            </wp14:sizeRelV>
          </wp:anchor>
        </w:drawing>
      </w:r>
      <w:r w:rsidR="001D475D" w:rsidRPr="001D475D">
        <w:rPr>
          <w:rFonts w:asciiTheme="minorHAnsi" w:eastAsia="Times New Roman" w:hAnsiTheme="minorHAnsi" w:cs="Times New Roman"/>
          <w:color w:val="000000"/>
          <w:sz w:val="24"/>
          <w:szCs w:val="24"/>
        </w:rPr>
        <w:t>Out of these different events, 1</w:t>
      </w:r>
      <w:r w:rsidR="001D475D" w:rsidRPr="00724A01">
        <w:rPr>
          <w:rFonts w:asciiTheme="minorHAnsi" w:eastAsia="Times New Roman" w:hAnsiTheme="minorHAnsi" w:cs="Times New Roman"/>
          <w:color w:val="000000"/>
          <w:sz w:val="24"/>
          <w:szCs w:val="24"/>
        </w:rPr>
        <w:t>5</w:t>
      </w:r>
      <w:r w:rsidR="001D475D" w:rsidRPr="001D475D">
        <w:rPr>
          <w:rFonts w:asciiTheme="minorHAnsi" w:eastAsia="Times New Roman" w:hAnsiTheme="minorHAnsi" w:cs="Times New Roman"/>
          <w:color w:val="000000"/>
          <w:sz w:val="24"/>
          <w:szCs w:val="24"/>
        </w:rPr>
        <w:t xml:space="preserve"> were attacked by security forces, 5</w:t>
      </w:r>
      <w:r w:rsidR="00724A01" w:rsidRPr="00724A01">
        <w:rPr>
          <w:rFonts w:asciiTheme="minorHAnsi" w:eastAsia="Times New Roman" w:hAnsiTheme="minorHAnsi" w:cs="Times New Roman"/>
          <w:color w:val="000000"/>
          <w:sz w:val="24"/>
          <w:szCs w:val="24"/>
        </w:rPr>
        <w:t>3</w:t>
      </w:r>
      <w:r w:rsidR="001D475D" w:rsidRPr="001D475D">
        <w:rPr>
          <w:rFonts w:asciiTheme="minorHAnsi" w:eastAsia="Times New Roman" w:hAnsiTheme="minorHAnsi" w:cs="Times New Roman"/>
          <w:color w:val="000000"/>
          <w:sz w:val="24"/>
          <w:szCs w:val="24"/>
        </w:rPr>
        <w:t xml:space="preserve"> passed without attacks, and </w:t>
      </w:r>
      <w:r w:rsidR="00724A01" w:rsidRPr="00724A01">
        <w:rPr>
          <w:rFonts w:asciiTheme="minorHAnsi" w:eastAsia="Times New Roman" w:hAnsiTheme="minorHAnsi" w:cs="Times New Roman"/>
          <w:color w:val="000000"/>
          <w:sz w:val="24"/>
          <w:szCs w:val="24"/>
        </w:rPr>
        <w:t>8</w:t>
      </w:r>
      <w:r w:rsidR="001D475D" w:rsidRPr="001D475D">
        <w:rPr>
          <w:rFonts w:asciiTheme="minorHAnsi" w:eastAsia="Times New Roman" w:hAnsiTheme="minorHAnsi" w:cs="Times New Roman"/>
          <w:color w:val="000000"/>
          <w:sz w:val="24"/>
          <w:szCs w:val="24"/>
        </w:rPr>
        <w:t xml:space="preserve"> labor and social protests were resolved after negotiations.</w:t>
      </w:r>
    </w:p>
    <w:p w:rsidR="00724A01" w:rsidRPr="00724A01" w:rsidRDefault="00724A01" w:rsidP="00724A01">
      <w:pPr>
        <w:bidi w:val="0"/>
        <w:spacing w:after="12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b/>
          <w:bCs/>
          <w:color w:val="000000"/>
          <w:sz w:val="24"/>
          <w:szCs w:val="24"/>
          <w:u w:val="single"/>
        </w:rPr>
        <w:t>Labor and Social protests:</w:t>
      </w:r>
    </w:p>
    <w:p w:rsidR="00724A01" w:rsidRPr="00724A01" w:rsidRDefault="00724A01" w:rsidP="00724A01">
      <w:pPr>
        <w:bidi w:val="0"/>
        <w:spacing w:after="12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color w:val="000000"/>
          <w:sz w:val="24"/>
          <w:szCs w:val="24"/>
        </w:rPr>
        <w:t>The second quarter of 2020 witnessed 41 different social and labor protests; eight of which were attacked by security forces, whereas 26 passed without interference, and 7 were resolved after negotiations with their organizers.</w:t>
      </w:r>
    </w:p>
    <w:p w:rsidR="00724A01" w:rsidRPr="00724A01" w:rsidRDefault="00724A01" w:rsidP="00724A01">
      <w:pPr>
        <w:bidi w:val="0"/>
        <w:spacing w:after="12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b/>
          <w:bCs/>
          <w:color w:val="000000"/>
          <w:sz w:val="24"/>
          <w:szCs w:val="24"/>
        </w:rPr>
        <w:t>The most important demands brought by the social and labor protests:</w:t>
      </w:r>
    </w:p>
    <w:p w:rsidR="00724A01" w:rsidRPr="00724A01" w:rsidRDefault="00724A01" w:rsidP="00724A01">
      <w:pPr>
        <w:pStyle w:val="ListParagraph"/>
        <w:numPr>
          <w:ilvl w:val="0"/>
          <w:numId w:val="11"/>
        </w:numPr>
        <w:bidi w:val="0"/>
        <w:spacing w:after="120" w:line="240" w:lineRule="auto"/>
        <w:rPr>
          <w:rFonts w:asciiTheme="minorHAnsi" w:eastAsia="Times New Roman" w:hAnsiTheme="minorHAnsi" w:cs="Times New Roman"/>
          <w:sz w:val="24"/>
          <w:szCs w:val="24"/>
        </w:rPr>
      </w:pPr>
      <w:r w:rsidRPr="00724A01">
        <w:rPr>
          <w:rFonts w:asciiTheme="minorHAnsi" w:eastAsia="Times New Roman" w:hAnsiTheme="minorHAnsi" w:cs="Times New Roman"/>
          <w:color w:val="000000"/>
          <w:sz w:val="24"/>
          <w:szCs w:val="24"/>
        </w:rPr>
        <w:t xml:space="preserve">Ismailia Sporting club employees protested the non-receipt of their financial dues </w:t>
      </w:r>
    </w:p>
    <w:p w:rsidR="00724A01" w:rsidRDefault="00724A01" w:rsidP="00CC208D">
      <w:pPr>
        <w:pStyle w:val="ListParagraph"/>
        <w:numPr>
          <w:ilvl w:val="0"/>
          <w:numId w:val="11"/>
        </w:numPr>
        <w:bidi w:val="0"/>
        <w:spacing w:after="12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 number of workers protested the</w:t>
      </w:r>
      <w:r w:rsidR="007E19EC">
        <w:rPr>
          <w:rFonts w:asciiTheme="minorHAnsi" w:eastAsia="Times New Roman" w:hAnsiTheme="minorHAnsi" w:cs="Times New Roman"/>
          <w:sz w:val="24"/>
          <w:szCs w:val="24"/>
        </w:rPr>
        <w:t>ir</w:t>
      </w:r>
      <w:r>
        <w:rPr>
          <w:rFonts w:asciiTheme="minorHAnsi" w:eastAsia="Times New Roman" w:hAnsiTheme="minorHAnsi" w:cs="Times New Roman"/>
          <w:sz w:val="24"/>
          <w:szCs w:val="24"/>
        </w:rPr>
        <w:t xml:space="preserve"> arbitrary dismissal </w:t>
      </w:r>
      <w:r w:rsidR="007E19EC">
        <w:rPr>
          <w:rFonts w:asciiTheme="minorHAnsi" w:eastAsia="Times New Roman" w:hAnsiTheme="minorHAnsi" w:cs="Times New Roman"/>
          <w:sz w:val="24"/>
          <w:szCs w:val="24"/>
        </w:rPr>
        <w:t xml:space="preserve">from work </w:t>
      </w:r>
      <w:r w:rsidR="00CC208D">
        <w:rPr>
          <w:rFonts w:asciiTheme="minorHAnsi" w:eastAsia="Times New Roman" w:hAnsiTheme="minorHAnsi" w:cs="Times New Roman"/>
          <w:sz w:val="24"/>
          <w:szCs w:val="24"/>
        </w:rPr>
        <w:t>and demanded</w:t>
      </w:r>
      <w:r w:rsidR="007E19EC">
        <w:rPr>
          <w:rFonts w:asciiTheme="minorHAnsi" w:eastAsia="Times New Roman" w:hAnsiTheme="minorHAnsi" w:cs="Times New Roman"/>
          <w:sz w:val="24"/>
          <w:szCs w:val="24"/>
        </w:rPr>
        <w:t xml:space="preserve"> the disbursement of their financial dues </w:t>
      </w:r>
    </w:p>
    <w:p w:rsidR="007E19EC" w:rsidRDefault="007E19EC" w:rsidP="00CC208D">
      <w:pPr>
        <w:pStyle w:val="ListParagraph"/>
        <w:numPr>
          <w:ilvl w:val="0"/>
          <w:numId w:val="11"/>
        </w:numPr>
        <w:bidi w:val="0"/>
        <w:spacing w:after="12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A number of workers </w:t>
      </w:r>
      <w:r w:rsidR="00CC208D">
        <w:rPr>
          <w:rFonts w:asciiTheme="minorHAnsi" w:eastAsia="Times New Roman" w:hAnsiTheme="minorHAnsi" w:cs="Times New Roman"/>
          <w:sz w:val="24"/>
          <w:szCs w:val="24"/>
        </w:rPr>
        <w:t>demanded</w:t>
      </w:r>
      <w:r w:rsidRPr="007E19EC">
        <w:rPr>
          <w:rFonts w:asciiTheme="minorHAnsi" w:eastAsia="Times New Roman" w:hAnsiTheme="minorHAnsi" w:cs="Times New Roman"/>
          <w:sz w:val="24"/>
          <w:szCs w:val="24"/>
        </w:rPr>
        <w:t xml:space="preserve"> installation in their jobs</w:t>
      </w:r>
    </w:p>
    <w:p w:rsidR="007E19EC" w:rsidRDefault="007E19EC" w:rsidP="007E19EC">
      <w:pPr>
        <w:pStyle w:val="ListParagraph"/>
        <w:numPr>
          <w:ilvl w:val="0"/>
          <w:numId w:val="11"/>
        </w:numPr>
        <w:bidi w:val="0"/>
        <w:spacing w:after="120" w:line="240" w:lineRule="auto"/>
        <w:rPr>
          <w:rFonts w:asciiTheme="minorHAnsi" w:eastAsia="Times New Roman" w:hAnsiTheme="minorHAnsi" w:cs="Times New Roman"/>
          <w:sz w:val="24"/>
          <w:szCs w:val="24"/>
        </w:rPr>
      </w:pPr>
      <w:r w:rsidRPr="007E19EC">
        <w:rPr>
          <w:rFonts w:asciiTheme="minorHAnsi" w:eastAsia="Times New Roman" w:hAnsiTheme="minorHAnsi" w:cs="Times New Roman"/>
          <w:sz w:val="24"/>
          <w:szCs w:val="24"/>
        </w:rPr>
        <w:t xml:space="preserve">Dishna Village </w:t>
      </w:r>
      <w:r>
        <w:rPr>
          <w:rFonts w:asciiTheme="minorHAnsi" w:eastAsia="Times New Roman" w:hAnsiTheme="minorHAnsi" w:cs="Times New Roman"/>
          <w:sz w:val="24"/>
          <w:szCs w:val="24"/>
        </w:rPr>
        <w:t xml:space="preserve">residents protested </w:t>
      </w:r>
      <w:r w:rsidRPr="007E19EC">
        <w:rPr>
          <w:rFonts w:asciiTheme="minorHAnsi" w:eastAsia="Times New Roman" w:hAnsiTheme="minorHAnsi" w:cs="Times New Roman"/>
          <w:sz w:val="24"/>
          <w:szCs w:val="24"/>
        </w:rPr>
        <w:t>water cuts</w:t>
      </w:r>
      <w:r>
        <w:rPr>
          <w:rFonts w:asciiTheme="minorHAnsi" w:eastAsia="Times New Roman" w:hAnsiTheme="minorHAnsi" w:cs="Times New Roman"/>
          <w:sz w:val="24"/>
          <w:szCs w:val="24"/>
        </w:rPr>
        <w:t xml:space="preserve"> for 10 days</w:t>
      </w:r>
    </w:p>
    <w:p w:rsidR="00CC208D" w:rsidRDefault="007E19EC" w:rsidP="007E19EC">
      <w:pPr>
        <w:pStyle w:val="ListParagraph"/>
        <w:numPr>
          <w:ilvl w:val="0"/>
          <w:numId w:val="11"/>
        </w:numPr>
        <w:bidi w:val="0"/>
        <w:spacing w:after="12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Dr. Laila Suef staged a sit-in outside the Tora Prison gate demanding to receive a letter</w:t>
      </w:r>
      <w:r w:rsidR="00CC208D">
        <w:rPr>
          <w:rFonts w:asciiTheme="minorHAnsi" w:eastAsia="Times New Roman" w:hAnsiTheme="minorHAnsi" w:cs="Times New Roman"/>
          <w:sz w:val="24"/>
          <w:szCs w:val="24"/>
        </w:rPr>
        <w:t xml:space="preserve"> a letter from her detained son</w:t>
      </w:r>
    </w:p>
    <w:p w:rsidR="007E19EC" w:rsidRDefault="00567588" w:rsidP="00CC208D">
      <w:pPr>
        <w:pStyle w:val="ListParagraph"/>
        <w:numPr>
          <w:ilvl w:val="0"/>
          <w:numId w:val="11"/>
        </w:numPr>
        <w:bidi w:val="0"/>
        <w:spacing w:after="120" w:line="240" w:lineRule="auto"/>
        <w:rPr>
          <w:rFonts w:asciiTheme="minorHAnsi" w:eastAsia="Times New Roman" w:hAnsiTheme="minorHAnsi" w:cs="Times New Roman"/>
          <w:sz w:val="24"/>
          <w:szCs w:val="24"/>
        </w:rPr>
      </w:pPr>
      <w:r w:rsidRPr="00567588">
        <w:rPr>
          <w:rFonts w:ascii="Cambria" w:eastAsia="Times New Roman" w:hAnsi="Cambria" w:cs="Times New Roman"/>
          <w:b/>
          <w:bCs/>
          <w:noProof/>
          <w:color w:val="000000"/>
          <w:sz w:val="24"/>
          <w:szCs w:val="24"/>
        </w:rPr>
        <w:lastRenderedPageBreak/>
        <w:drawing>
          <wp:anchor distT="0" distB="0" distL="114300" distR="114300" simplePos="0" relativeHeight="251653632" behindDoc="0" locked="0" layoutInCell="1" allowOverlap="1">
            <wp:simplePos x="0" y="0"/>
            <wp:positionH relativeFrom="column">
              <wp:posOffset>723900</wp:posOffset>
            </wp:positionH>
            <wp:positionV relativeFrom="paragraph">
              <wp:posOffset>601980</wp:posOffset>
            </wp:positionV>
            <wp:extent cx="3810000" cy="36461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أعتداءات-على-الفعاليات-العمالي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000" cy="3646170"/>
                    </a:xfrm>
                    <a:prstGeom prst="rect">
                      <a:avLst/>
                    </a:prstGeom>
                  </pic:spPr>
                </pic:pic>
              </a:graphicData>
            </a:graphic>
            <wp14:sizeRelH relativeFrom="margin">
              <wp14:pctWidth>0</wp14:pctWidth>
            </wp14:sizeRelH>
            <wp14:sizeRelV relativeFrom="margin">
              <wp14:pctHeight>0</wp14:pctHeight>
            </wp14:sizeRelV>
          </wp:anchor>
        </w:drawing>
      </w:r>
      <w:r w:rsidR="00CC208D">
        <w:rPr>
          <w:rFonts w:asciiTheme="minorHAnsi" w:eastAsia="Times New Roman" w:hAnsiTheme="minorHAnsi" w:cs="Times New Roman"/>
          <w:sz w:val="24"/>
          <w:szCs w:val="24"/>
        </w:rPr>
        <w:t xml:space="preserve">A number of nurses and medical staff protested </w:t>
      </w:r>
      <w:r w:rsidR="00CC208D" w:rsidRPr="00CC208D">
        <w:rPr>
          <w:rFonts w:asciiTheme="minorHAnsi" w:eastAsia="Times New Roman" w:hAnsiTheme="minorHAnsi" w:cs="Times New Roman"/>
          <w:sz w:val="24"/>
          <w:szCs w:val="24"/>
        </w:rPr>
        <w:t>the health conditions</w:t>
      </w:r>
      <w:r w:rsidR="00CC208D">
        <w:rPr>
          <w:rFonts w:asciiTheme="minorHAnsi" w:eastAsia="Times New Roman" w:hAnsiTheme="minorHAnsi" w:cs="Times New Roman"/>
          <w:sz w:val="24"/>
          <w:szCs w:val="24"/>
        </w:rPr>
        <w:t xml:space="preserve"> in hospitals and demanded to </w:t>
      </w:r>
      <w:r w:rsidR="00CC208D" w:rsidRPr="00CC208D">
        <w:rPr>
          <w:rFonts w:asciiTheme="minorHAnsi" w:eastAsia="Times New Roman" w:hAnsiTheme="minorHAnsi" w:cs="Times New Roman"/>
          <w:sz w:val="24"/>
          <w:szCs w:val="24"/>
        </w:rPr>
        <w:t>cond</w:t>
      </w:r>
      <w:r w:rsidR="00CC208D">
        <w:rPr>
          <w:rFonts w:asciiTheme="minorHAnsi" w:eastAsia="Times New Roman" w:hAnsiTheme="minorHAnsi" w:cs="Times New Roman"/>
          <w:sz w:val="24"/>
          <w:szCs w:val="24"/>
        </w:rPr>
        <w:t xml:space="preserve">uct a coronavirus test for them. </w:t>
      </w:r>
    </w:p>
    <w:p w:rsidR="008B33B3" w:rsidRDefault="008B33B3" w:rsidP="008B33B3">
      <w:pPr>
        <w:pStyle w:val="ListParagraph"/>
        <w:bidi w:val="0"/>
        <w:spacing w:after="120" w:line="240" w:lineRule="auto"/>
        <w:rPr>
          <w:rFonts w:asciiTheme="minorHAnsi" w:eastAsia="Times New Roman" w:hAnsiTheme="minorHAnsi" w:cs="Times New Roman"/>
          <w:sz w:val="24"/>
          <w:szCs w:val="24"/>
        </w:rPr>
      </w:pPr>
    </w:p>
    <w:p w:rsidR="00DE749A" w:rsidRPr="00DE749A" w:rsidRDefault="00DE749A" w:rsidP="00DE749A">
      <w:pPr>
        <w:bidi w:val="0"/>
        <w:spacing w:after="12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MB and NASL protest activities:</w:t>
      </w:r>
    </w:p>
    <w:p w:rsidR="00DE749A" w:rsidRPr="00DE749A" w:rsidRDefault="00DE749A" w:rsidP="00D267B5">
      <w:pPr>
        <w:bidi w:val="0"/>
        <w:spacing w:after="12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The </w:t>
      </w:r>
      <w:r w:rsidR="00D267B5">
        <w:rPr>
          <w:rFonts w:ascii="Cambria" w:eastAsia="Times New Roman" w:hAnsi="Cambria" w:cs="Times New Roman"/>
          <w:color w:val="000000"/>
          <w:sz w:val="24"/>
          <w:szCs w:val="24"/>
        </w:rPr>
        <w:t>second</w:t>
      </w:r>
      <w:r w:rsidRPr="00DE749A">
        <w:rPr>
          <w:rFonts w:ascii="Cambria" w:eastAsia="Times New Roman" w:hAnsi="Cambria" w:cs="Times New Roman"/>
          <w:color w:val="000000"/>
          <w:sz w:val="24"/>
          <w:szCs w:val="24"/>
        </w:rPr>
        <w:t xml:space="preserve"> quarter of 2020 witnessed the Muslim Brotherhood (MB) and the National Alliance to Support</w:t>
      </w:r>
      <w:r w:rsidR="00D267B5">
        <w:rPr>
          <w:rFonts w:ascii="Cambria" w:eastAsia="Times New Roman" w:hAnsi="Cambria" w:cs="Times New Roman"/>
          <w:color w:val="000000"/>
          <w:sz w:val="24"/>
          <w:szCs w:val="24"/>
        </w:rPr>
        <w:t xml:space="preserve"> Legitimacy (NASL) organizing 30</w:t>
      </w:r>
      <w:r w:rsidRPr="00DE749A">
        <w:rPr>
          <w:rFonts w:ascii="Cambria" w:eastAsia="Times New Roman" w:hAnsi="Cambria" w:cs="Times New Roman"/>
          <w:color w:val="000000"/>
          <w:sz w:val="24"/>
          <w:szCs w:val="24"/>
        </w:rPr>
        <w:t xml:space="preserve"> different protests, including 7 that were attacked by the security forces and 28 that were left without security intervention, while none of them was subject to negotiation.</w:t>
      </w:r>
    </w:p>
    <w:p w:rsidR="00DE749A" w:rsidRPr="00DE749A" w:rsidRDefault="00DE749A" w:rsidP="00DE749A">
      <w:pPr>
        <w:bidi w:val="0"/>
        <w:spacing w:after="12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rPr>
        <w:t>The most important demands raised by Muslim Brotherhood and the National Alliance to Support Legitimacy:</w:t>
      </w:r>
    </w:p>
    <w:p w:rsidR="007B3410" w:rsidRPr="007B3410" w:rsidRDefault="007B3410" w:rsidP="007B3410">
      <w:pPr>
        <w:pStyle w:val="ListParagraph"/>
        <w:numPr>
          <w:ilvl w:val="0"/>
          <w:numId w:val="11"/>
        </w:numPr>
        <w:bidi w:val="0"/>
        <w:spacing w:after="120" w:line="240" w:lineRule="auto"/>
        <w:rPr>
          <w:rFonts w:ascii="Times New Roman" w:eastAsia="Times New Roman" w:hAnsi="Times New Roman" w:cs="Times New Roman"/>
          <w:sz w:val="24"/>
          <w:szCs w:val="24"/>
        </w:rPr>
      </w:pPr>
      <w:r w:rsidRPr="007B3410">
        <w:rPr>
          <w:rFonts w:ascii="Cambria" w:eastAsia="Times New Roman" w:hAnsi="Cambria" w:cs="Times New Roman"/>
          <w:color w:val="000000"/>
          <w:sz w:val="24"/>
          <w:szCs w:val="24"/>
        </w:rPr>
        <w:t>Commemoration of the first anniversary of the death of former President Mohamed Morsi in the courtroom during his trial over the "Spying for Hamas" case.</w:t>
      </w:r>
    </w:p>
    <w:p w:rsidR="007B3410" w:rsidRPr="007B3410" w:rsidRDefault="007B3410" w:rsidP="007B3410">
      <w:pPr>
        <w:pStyle w:val="ListParagraph"/>
        <w:numPr>
          <w:ilvl w:val="0"/>
          <w:numId w:val="11"/>
        </w:numPr>
        <w:bidi w:val="0"/>
        <w:spacing w:after="120" w:line="240" w:lineRule="auto"/>
        <w:rPr>
          <w:rFonts w:ascii="Times New Roman" w:eastAsia="Times New Roman" w:hAnsi="Times New Roman" w:cs="Times New Roman"/>
          <w:sz w:val="24"/>
          <w:szCs w:val="24"/>
        </w:rPr>
      </w:pPr>
      <w:r w:rsidRPr="007B3410">
        <w:rPr>
          <w:rFonts w:ascii="Cambria" w:eastAsia="Times New Roman" w:hAnsi="Cambria" w:cs="Times New Roman"/>
          <w:color w:val="000000"/>
          <w:sz w:val="24"/>
          <w:szCs w:val="24"/>
        </w:rPr>
        <w:t>Demanding the release of detainees and improvements to prison conditions</w:t>
      </w:r>
      <w:r w:rsidRPr="007B3410">
        <w:rPr>
          <w:rFonts w:ascii="Times New Roman" w:eastAsia="Times New Roman" w:hAnsi="Times New Roman" w:cs="Times New Roman"/>
          <w:sz w:val="24"/>
          <w:szCs w:val="24"/>
        </w:rPr>
        <w:t>.</w:t>
      </w:r>
    </w:p>
    <w:p w:rsidR="007B3410" w:rsidRPr="007B3410" w:rsidRDefault="007B3410" w:rsidP="007B3410">
      <w:pPr>
        <w:pStyle w:val="ListParagraph"/>
        <w:numPr>
          <w:ilvl w:val="0"/>
          <w:numId w:val="11"/>
        </w:numPr>
        <w:bidi w:val="0"/>
        <w:spacing w:after="120" w:line="240" w:lineRule="auto"/>
        <w:rPr>
          <w:rFonts w:ascii="Times New Roman" w:eastAsia="Times New Roman" w:hAnsi="Times New Roman" w:cs="Times New Roman"/>
          <w:sz w:val="24"/>
          <w:szCs w:val="24"/>
        </w:rPr>
      </w:pPr>
      <w:r w:rsidRPr="007B3410">
        <w:rPr>
          <w:rFonts w:ascii="Cambria" w:eastAsia="Times New Roman" w:hAnsi="Cambria" w:cs="Times New Roman"/>
          <w:color w:val="000000"/>
          <w:sz w:val="24"/>
          <w:szCs w:val="24"/>
        </w:rPr>
        <w:t>Demanding to topple what they described as the military rule.</w:t>
      </w:r>
    </w:p>
    <w:p w:rsidR="00567588" w:rsidRDefault="00567588" w:rsidP="00567588">
      <w:pPr>
        <w:bidi w:val="0"/>
        <w:spacing w:after="120" w:line="240" w:lineRule="auto"/>
        <w:rPr>
          <w:rFonts w:ascii="Cambria" w:eastAsia="Times New Roman" w:hAnsi="Cambria" w:cs="Times New Roman"/>
          <w:b/>
          <w:bCs/>
          <w:color w:val="000000"/>
          <w:sz w:val="24"/>
          <w:szCs w:val="24"/>
          <w:u w:val="single"/>
        </w:rPr>
      </w:pPr>
      <w:r w:rsidRPr="00567588">
        <w:rPr>
          <w:rFonts w:ascii="Cambria" w:eastAsia="Times New Roman" w:hAnsi="Cambria" w:cs="Times New Roman"/>
          <w:b/>
          <w:bCs/>
          <w:noProof/>
          <w:color w:val="000000"/>
          <w:sz w:val="24"/>
          <w:szCs w:val="24"/>
        </w:rPr>
        <w:lastRenderedPageBreak/>
        <w:drawing>
          <wp:inline distT="0" distB="0" distL="0" distR="0">
            <wp:extent cx="5943600" cy="4392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اعتداءات-على-فعاليات-جماعة-الاخوان.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92930"/>
                    </a:xfrm>
                    <a:prstGeom prst="rect">
                      <a:avLst/>
                    </a:prstGeom>
                  </pic:spPr>
                </pic:pic>
              </a:graphicData>
            </a:graphic>
          </wp:inline>
        </w:drawing>
      </w:r>
    </w:p>
    <w:p w:rsidR="00567588" w:rsidRDefault="00567588" w:rsidP="00567588">
      <w:pPr>
        <w:bidi w:val="0"/>
        <w:spacing w:after="120" w:line="240" w:lineRule="auto"/>
        <w:rPr>
          <w:rFonts w:ascii="Cambria" w:eastAsia="Times New Roman" w:hAnsi="Cambria" w:cs="Times New Roman"/>
          <w:b/>
          <w:bCs/>
          <w:color w:val="000000"/>
          <w:sz w:val="24"/>
          <w:szCs w:val="24"/>
          <w:u w:val="single"/>
        </w:rPr>
      </w:pPr>
    </w:p>
    <w:p w:rsidR="00DE749A" w:rsidRPr="00DE749A" w:rsidRDefault="00DE749A" w:rsidP="00567588">
      <w:pPr>
        <w:bidi w:val="0"/>
        <w:spacing w:after="12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Student activities:</w:t>
      </w:r>
    </w:p>
    <w:p w:rsidR="00DE749A" w:rsidRPr="00DE749A" w:rsidRDefault="008B33B3" w:rsidP="008B33B3">
      <w:pPr>
        <w:bidi w:val="0"/>
        <w:spacing w:after="12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The second</w:t>
      </w:r>
      <w:r w:rsidR="00DE749A" w:rsidRPr="00DE749A">
        <w:rPr>
          <w:rFonts w:ascii="Cambria" w:eastAsia="Times New Roman" w:hAnsi="Cambria" w:cs="Times New Roman"/>
          <w:color w:val="000000"/>
          <w:sz w:val="24"/>
          <w:szCs w:val="24"/>
        </w:rPr>
        <w:t xml:space="preserve"> quarter of 2020 witnessed only </w:t>
      </w:r>
      <w:r>
        <w:rPr>
          <w:rFonts w:ascii="Cambria" w:eastAsia="Times New Roman" w:hAnsi="Cambria" w:cs="Times New Roman"/>
          <w:color w:val="000000"/>
          <w:sz w:val="24"/>
          <w:szCs w:val="24"/>
        </w:rPr>
        <w:t>four</w:t>
      </w:r>
      <w:r w:rsidR="00DE749A" w:rsidRPr="00DE749A">
        <w:rPr>
          <w:rFonts w:ascii="Cambria" w:eastAsia="Times New Roman" w:hAnsi="Cambria" w:cs="Times New Roman"/>
          <w:color w:val="000000"/>
          <w:sz w:val="24"/>
          <w:szCs w:val="24"/>
        </w:rPr>
        <w:t xml:space="preserve"> protest a</w:t>
      </w:r>
      <w:r>
        <w:rPr>
          <w:rFonts w:ascii="Cambria" w:eastAsia="Times New Roman" w:hAnsi="Cambria" w:cs="Times New Roman"/>
          <w:color w:val="000000"/>
          <w:sz w:val="24"/>
          <w:szCs w:val="24"/>
        </w:rPr>
        <w:t xml:space="preserve">ctivities organized by students, three of them </w:t>
      </w:r>
      <w:r w:rsidR="00DE749A" w:rsidRPr="00DE749A">
        <w:rPr>
          <w:rFonts w:ascii="Cambria" w:eastAsia="Times New Roman" w:hAnsi="Cambria" w:cs="Times New Roman"/>
          <w:color w:val="000000"/>
          <w:sz w:val="24"/>
          <w:szCs w:val="24"/>
        </w:rPr>
        <w:t>were left wi</w:t>
      </w:r>
      <w:r>
        <w:rPr>
          <w:rFonts w:ascii="Cambria" w:eastAsia="Times New Roman" w:hAnsi="Cambria" w:cs="Times New Roman"/>
          <w:color w:val="000000"/>
          <w:sz w:val="24"/>
          <w:szCs w:val="24"/>
        </w:rPr>
        <w:t xml:space="preserve">thout any security intervention, while the security forces managed to resolve one protest through negotiation. </w:t>
      </w:r>
      <w:r w:rsidR="00DE749A" w:rsidRPr="00DE749A">
        <w:rPr>
          <w:rFonts w:ascii="Cambria" w:eastAsia="Times New Roman" w:hAnsi="Cambria" w:cs="Times New Roman"/>
          <w:color w:val="000000"/>
          <w:sz w:val="24"/>
          <w:szCs w:val="24"/>
        </w:rPr>
        <w:t> </w:t>
      </w:r>
    </w:p>
    <w:p w:rsid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rPr>
        <w:t>Student protests’ main demands:</w:t>
      </w:r>
    </w:p>
    <w:p w:rsidR="00817ACE" w:rsidRPr="00817ACE" w:rsidRDefault="00817ACE" w:rsidP="00817ACE">
      <w:pPr>
        <w:pStyle w:val="ListParagraph"/>
        <w:numPr>
          <w:ilvl w:val="0"/>
          <w:numId w:val="11"/>
        </w:numPr>
        <w:bidi w:val="0"/>
        <w:spacing w:after="240" w:line="240" w:lineRule="auto"/>
        <w:rPr>
          <w:rFonts w:ascii="Times New Roman" w:eastAsia="Times New Roman" w:hAnsi="Times New Roman" w:cs="Times New Roman"/>
          <w:sz w:val="24"/>
          <w:szCs w:val="24"/>
        </w:rPr>
      </w:pPr>
      <w:r>
        <w:rPr>
          <w:rFonts w:asciiTheme="minorHAnsi" w:eastAsia="Times New Roman" w:hAnsiTheme="minorHAnsi" w:cs="Times New Roman"/>
          <w:sz w:val="24"/>
          <w:szCs w:val="24"/>
        </w:rPr>
        <w:t>A number of university students objected to the internet-based examination</w:t>
      </w:r>
      <w:r w:rsidR="00B73659">
        <w:rPr>
          <w:rFonts w:asciiTheme="minorHAnsi" w:eastAsia="Times New Roman" w:hAnsiTheme="minorHAnsi" w:cs="Times New Roman"/>
          <w:sz w:val="24"/>
          <w:szCs w:val="24"/>
        </w:rPr>
        <w:t xml:space="preserve"> system</w:t>
      </w:r>
      <w:r>
        <w:rPr>
          <w:rFonts w:asciiTheme="minorHAnsi" w:eastAsia="Times New Roman" w:hAnsiTheme="minorHAnsi" w:cs="Times New Roman"/>
          <w:sz w:val="24"/>
          <w:szCs w:val="24"/>
        </w:rPr>
        <w:t xml:space="preserve"> and demanded to replace it with a research project </w:t>
      </w:r>
    </w:p>
    <w:p w:rsidR="00817ACE" w:rsidRPr="0029549F" w:rsidRDefault="00817ACE" w:rsidP="00B73659">
      <w:pPr>
        <w:pStyle w:val="ListParagraph"/>
        <w:numPr>
          <w:ilvl w:val="0"/>
          <w:numId w:val="11"/>
        </w:numPr>
        <w:bidi w:val="0"/>
        <w:spacing w:after="240" w:line="240" w:lineRule="auto"/>
        <w:rPr>
          <w:rFonts w:ascii="Times New Roman" w:eastAsia="Times New Roman" w:hAnsi="Times New Roman" w:cs="Times New Roman"/>
          <w:sz w:val="24"/>
          <w:szCs w:val="24"/>
        </w:rPr>
      </w:pPr>
      <w:r>
        <w:rPr>
          <w:rFonts w:asciiTheme="minorHAnsi" w:eastAsia="Times New Roman" w:hAnsiTheme="minorHAnsi" w:cstheme="majorHAnsi"/>
          <w:sz w:val="24"/>
          <w:szCs w:val="24"/>
        </w:rPr>
        <w:t>A number of students and their parents protested the attitude of a bookshop's owner in Tanta city after he cheated and deceived them by asking for more money in exchange for preparing research projects for them</w:t>
      </w:r>
      <w:r w:rsidR="00B73659">
        <w:rPr>
          <w:rFonts w:asciiTheme="minorHAnsi" w:eastAsia="Times New Roman" w:hAnsiTheme="minorHAnsi" w:cstheme="majorHAnsi"/>
          <w:sz w:val="24"/>
          <w:szCs w:val="24"/>
        </w:rPr>
        <w:t xml:space="preserve">, demanding </w:t>
      </w:r>
      <w:r>
        <w:rPr>
          <w:rFonts w:asciiTheme="minorHAnsi" w:eastAsia="Times New Roman" w:hAnsiTheme="minorHAnsi" w:cstheme="majorHAnsi"/>
          <w:sz w:val="24"/>
          <w:szCs w:val="24"/>
        </w:rPr>
        <w:t xml:space="preserve">from the security services to arrest him. </w:t>
      </w:r>
    </w:p>
    <w:p w:rsidR="0029549F" w:rsidRDefault="005E33AD" w:rsidP="0029549F">
      <w:pPr>
        <w:bidi w:val="0"/>
        <w:spacing w:after="24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lastRenderedPageBreak/>
        <w:drawing>
          <wp:inline distT="0" distB="0" distL="0" distR="0">
            <wp:extent cx="5943600" cy="4071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الاعتداءات-على-الطلاب.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bookmarkEnd w:id="0"/>
    </w:p>
    <w:p w:rsidR="0029549F" w:rsidRDefault="0029549F" w:rsidP="0029549F">
      <w:pPr>
        <w:bidi w:val="0"/>
        <w:spacing w:after="240" w:line="240" w:lineRule="auto"/>
        <w:rPr>
          <w:rFonts w:ascii="Times New Roman" w:eastAsia="Times New Roman" w:hAnsi="Times New Roman" w:cs="Times New Roman"/>
          <w:sz w:val="24"/>
          <w:szCs w:val="24"/>
        </w:rPr>
      </w:pPr>
    </w:p>
    <w:p w:rsidR="0029549F" w:rsidRPr="0029549F" w:rsidRDefault="0029549F" w:rsidP="0029549F">
      <w:pPr>
        <w:bidi w:val="0"/>
        <w:spacing w:after="240" w:line="240" w:lineRule="auto"/>
        <w:rPr>
          <w:rFonts w:ascii="Times New Roman" w:eastAsia="Times New Roman" w:hAnsi="Times New Roman" w:cs="Times New Roman"/>
          <w:sz w:val="24"/>
          <w:szCs w:val="24"/>
        </w:rPr>
      </w:pPr>
    </w:p>
    <w:p w:rsidR="00DE749A" w:rsidRPr="00DE749A" w:rsidRDefault="00B73659" w:rsidP="00DE749A">
      <w:pPr>
        <w:bidi w:val="0"/>
        <w:spacing w:after="24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4"/>
          <w:szCs w:val="24"/>
          <w:u w:val="single"/>
        </w:rPr>
        <w:t xml:space="preserve">Civil Powers protest </w:t>
      </w:r>
      <w:r w:rsidR="00DE749A" w:rsidRPr="00DE749A">
        <w:rPr>
          <w:rFonts w:ascii="Cambria" w:eastAsia="Times New Roman" w:hAnsi="Cambria" w:cs="Times New Roman"/>
          <w:b/>
          <w:bCs/>
          <w:color w:val="000000"/>
          <w:sz w:val="24"/>
          <w:szCs w:val="24"/>
          <w:u w:val="single"/>
        </w:rPr>
        <w:t>events:  </w:t>
      </w:r>
    </w:p>
    <w:p w:rsidR="00DE749A" w:rsidRPr="00DE749A" w:rsidRDefault="00DE749A" w:rsidP="00B73659">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The </w:t>
      </w:r>
      <w:r w:rsidR="00B73659">
        <w:rPr>
          <w:rFonts w:ascii="Cambria" w:eastAsia="Times New Roman" w:hAnsi="Cambria" w:cs="Times New Roman"/>
          <w:color w:val="000000"/>
          <w:sz w:val="24"/>
          <w:szCs w:val="24"/>
        </w:rPr>
        <w:t>second</w:t>
      </w:r>
      <w:r w:rsidRPr="00DE749A">
        <w:rPr>
          <w:rFonts w:ascii="Cambria" w:eastAsia="Times New Roman" w:hAnsi="Cambria" w:cs="Times New Roman"/>
          <w:color w:val="000000"/>
          <w:sz w:val="24"/>
          <w:szCs w:val="24"/>
        </w:rPr>
        <w:t xml:space="preserve"> quarter of 2020 witnessed </w:t>
      </w:r>
      <w:r w:rsidR="00B73659">
        <w:rPr>
          <w:rFonts w:ascii="Cambria" w:eastAsia="Times New Roman" w:hAnsi="Cambria" w:cs="Times New Roman"/>
          <w:color w:val="000000"/>
          <w:sz w:val="24"/>
          <w:szCs w:val="24"/>
        </w:rPr>
        <w:t>only one protest</w:t>
      </w:r>
      <w:r w:rsidRPr="00DE749A">
        <w:rPr>
          <w:rFonts w:ascii="Cambria" w:eastAsia="Times New Roman" w:hAnsi="Cambria" w:cs="Times New Roman"/>
          <w:color w:val="000000"/>
          <w:sz w:val="24"/>
          <w:szCs w:val="24"/>
        </w:rPr>
        <w:t xml:space="preserve"> took place in Cai</w:t>
      </w:r>
      <w:r w:rsidR="00B73659">
        <w:rPr>
          <w:rFonts w:ascii="Cambria" w:eastAsia="Times New Roman" w:hAnsi="Cambria" w:cs="Times New Roman"/>
          <w:color w:val="000000"/>
          <w:sz w:val="24"/>
          <w:szCs w:val="24"/>
        </w:rPr>
        <w:t xml:space="preserve">ro. The protest was organized by the Tagammu Party's headquarters in Downtown </w:t>
      </w:r>
      <w:r w:rsidR="00B73659" w:rsidRPr="00B73659">
        <w:rPr>
          <w:rFonts w:ascii="Cambria" w:eastAsia="Times New Roman" w:hAnsi="Cambria" w:cs="Times New Roman"/>
          <w:color w:val="000000"/>
          <w:sz w:val="24"/>
          <w:szCs w:val="24"/>
        </w:rPr>
        <w:t xml:space="preserve">to celebrate </w:t>
      </w:r>
      <w:r w:rsidR="00B73659">
        <w:rPr>
          <w:rFonts w:ascii="Cambria" w:eastAsia="Times New Roman" w:hAnsi="Cambria" w:cs="Times New Roman"/>
          <w:color w:val="000000"/>
          <w:sz w:val="24"/>
          <w:szCs w:val="24"/>
        </w:rPr>
        <w:t xml:space="preserve">the occasion of the </w:t>
      </w:r>
      <w:r w:rsidR="00B73659" w:rsidRPr="00B73659">
        <w:rPr>
          <w:rFonts w:ascii="Cambria" w:eastAsia="Times New Roman" w:hAnsi="Cambria" w:cs="Times New Roman"/>
          <w:color w:val="000000"/>
          <w:sz w:val="24"/>
          <w:szCs w:val="24"/>
        </w:rPr>
        <w:t>Labor Day</w:t>
      </w:r>
      <w:r w:rsidR="00B73659">
        <w:rPr>
          <w:rFonts w:ascii="Times New Roman" w:eastAsia="Times New Roman" w:hAnsi="Times New Roman" w:cs="Times New Roman"/>
          <w:sz w:val="24"/>
          <w:szCs w:val="24"/>
        </w:rPr>
        <w:t xml:space="preserve">. </w:t>
      </w:r>
    </w:p>
    <w:p w:rsidR="0029549F" w:rsidRDefault="0029549F" w:rsidP="00DE749A">
      <w:pPr>
        <w:bidi w:val="0"/>
        <w:spacing w:after="240" w:line="240" w:lineRule="auto"/>
        <w:rPr>
          <w:rFonts w:ascii="Cambria" w:eastAsia="Times New Roman" w:hAnsi="Cambria" w:cs="Times New Roman"/>
          <w:b/>
          <w:bCs/>
          <w:color w:val="000000"/>
          <w:sz w:val="40"/>
          <w:szCs w:val="40"/>
          <w:u w:val="single"/>
        </w:rPr>
      </w:pPr>
    </w:p>
    <w:p w:rsidR="0029549F" w:rsidRDefault="0029549F" w:rsidP="0029549F">
      <w:pPr>
        <w:bidi w:val="0"/>
        <w:spacing w:after="240" w:line="240" w:lineRule="auto"/>
        <w:rPr>
          <w:rFonts w:ascii="Cambria" w:eastAsia="Times New Roman" w:hAnsi="Cambria" w:cs="Times New Roman"/>
          <w:b/>
          <w:bCs/>
          <w:color w:val="000000"/>
          <w:sz w:val="40"/>
          <w:szCs w:val="40"/>
          <w:u w:val="single"/>
        </w:rPr>
      </w:pPr>
    </w:p>
    <w:p w:rsidR="0029549F" w:rsidRDefault="0029549F" w:rsidP="0029549F">
      <w:pPr>
        <w:bidi w:val="0"/>
        <w:spacing w:after="240" w:line="240" w:lineRule="auto"/>
        <w:rPr>
          <w:rFonts w:ascii="Cambria" w:eastAsia="Times New Roman" w:hAnsi="Cambria" w:cs="Times New Roman"/>
          <w:b/>
          <w:bCs/>
          <w:color w:val="000000"/>
          <w:sz w:val="40"/>
          <w:szCs w:val="40"/>
          <w:u w:val="single"/>
        </w:rPr>
      </w:pPr>
    </w:p>
    <w:p w:rsidR="0029549F" w:rsidRDefault="0029549F" w:rsidP="0029549F">
      <w:pPr>
        <w:bidi w:val="0"/>
        <w:spacing w:after="240" w:line="240" w:lineRule="auto"/>
        <w:rPr>
          <w:rFonts w:ascii="Cambria" w:eastAsia="Times New Roman" w:hAnsi="Cambria" w:cs="Times New Roman"/>
          <w:b/>
          <w:bCs/>
          <w:color w:val="000000"/>
          <w:sz w:val="40"/>
          <w:szCs w:val="40"/>
          <w:u w:val="single"/>
        </w:rPr>
      </w:pPr>
    </w:p>
    <w:p w:rsidR="0029549F" w:rsidRDefault="0029549F" w:rsidP="0029549F">
      <w:pPr>
        <w:bidi w:val="0"/>
        <w:spacing w:after="240" w:line="240" w:lineRule="auto"/>
        <w:rPr>
          <w:rFonts w:ascii="Cambria" w:eastAsia="Times New Roman" w:hAnsi="Cambria" w:cs="Times New Roman"/>
          <w:b/>
          <w:bCs/>
          <w:color w:val="000000"/>
          <w:sz w:val="40"/>
          <w:szCs w:val="40"/>
          <w:u w:val="single"/>
        </w:rPr>
      </w:pPr>
    </w:p>
    <w:p w:rsidR="00DE749A" w:rsidRPr="00567588" w:rsidRDefault="00567588" w:rsidP="0029549F">
      <w:pPr>
        <w:bidi w:val="0"/>
        <w:spacing w:after="240" w:line="240" w:lineRule="auto"/>
        <w:rPr>
          <w:rFonts w:ascii="Times New Roman" w:eastAsia="Times New Roman" w:hAnsi="Times New Roman" w:cs="Times New Roman"/>
          <w:sz w:val="40"/>
          <w:szCs w:val="40"/>
        </w:rPr>
      </w:pPr>
      <w:r>
        <w:rPr>
          <w:rFonts w:ascii="Cambria" w:eastAsia="Times New Roman" w:hAnsi="Cambria" w:cs="Times New Roman"/>
          <w:b/>
          <w:bCs/>
          <w:color w:val="000000"/>
          <w:sz w:val="40"/>
          <w:szCs w:val="40"/>
          <w:u w:val="single"/>
        </w:rPr>
        <w:lastRenderedPageBreak/>
        <w:t>Second: Trials</w:t>
      </w:r>
    </w:p>
    <w:p w:rsidR="00DE749A" w:rsidRPr="00DE749A" w:rsidRDefault="00DE749A" w:rsidP="00DE749A">
      <w:pPr>
        <w:numPr>
          <w:ilvl w:val="0"/>
          <w:numId w:val="12"/>
        </w:numPr>
        <w:bidi w:val="0"/>
        <w:spacing w:after="240" w:line="240" w:lineRule="auto"/>
        <w:textAlignment w:val="baseline"/>
        <w:rPr>
          <w:rFonts w:ascii="Cambria" w:eastAsia="Times New Roman" w:hAnsi="Cambria" w:cs="Times New Roman"/>
          <w:b/>
          <w:bCs/>
          <w:color w:val="000000"/>
          <w:sz w:val="24"/>
          <w:szCs w:val="24"/>
        </w:rPr>
      </w:pPr>
      <w:r w:rsidRPr="00DE749A">
        <w:rPr>
          <w:rFonts w:ascii="Cambria" w:eastAsia="Times New Roman" w:hAnsi="Cambria" w:cs="Times New Roman"/>
          <w:b/>
          <w:bCs/>
          <w:color w:val="000000"/>
          <w:sz w:val="24"/>
          <w:szCs w:val="24"/>
        </w:rPr>
        <w:t>Ongoing trials:</w:t>
      </w:r>
    </w:p>
    <w:p w:rsidR="00DE749A" w:rsidRPr="00DE749A" w:rsidRDefault="00DE749A" w:rsidP="00B73659">
      <w:pPr>
        <w:bidi w:val="0"/>
        <w:spacing w:after="240" w:line="240" w:lineRule="auto"/>
        <w:jc w:val="both"/>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The </w:t>
      </w:r>
      <w:r w:rsidR="00B73659">
        <w:rPr>
          <w:rFonts w:ascii="Cambria" w:eastAsia="Times New Roman" w:hAnsi="Cambria" w:cs="Times New Roman"/>
          <w:color w:val="000000"/>
          <w:sz w:val="24"/>
          <w:szCs w:val="24"/>
        </w:rPr>
        <w:t>second</w:t>
      </w:r>
      <w:r w:rsidRPr="00DE749A">
        <w:rPr>
          <w:rFonts w:ascii="Cambria" w:eastAsia="Times New Roman" w:hAnsi="Cambria" w:cs="Times New Roman"/>
          <w:color w:val="000000"/>
          <w:sz w:val="24"/>
          <w:szCs w:val="24"/>
        </w:rPr>
        <w:t xml:space="preserve"> quarter of 2020 witnessed </w:t>
      </w:r>
      <w:r w:rsidR="00B73659">
        <w:rPr>
          <w:rFonts w:ascii="Cambria" w:eastAsia="Times New Roman" w:hAnsi="Cambria" w:cs="Times New Roman"/>
          <w:color w:val="000000"/>
          <w:sz w:val="24"/>
          <w:szCs w:val="24"/>
        </w:rPr>
        <w:t>46</w:t>
      </w:r>
      <w:r w:rsidRPr="00DE749A">
        <w:rPr>
          <w:rFonts w:ascii="Cambria" w:eastAsia="Times New Roman" w:hAnsi="Cambria" w:cs="Times New Roman"/>
          <w:color w:val="000000"/>
          <w:sz w:val="24"/>
          <w:szCs w:val="24"/>
        </w:rPr>
        <w:t xml:space="preserve"> trial cases that are being considered before the Egyptian judiciary. Of these, there were 17 rulings of conviction, </w:t>
      </w:r>
      <w:r w:rsidR="00B73659">
        <w:rPr>
          <w:rFonts w:ascii="Cambria" w:eastAsia="Times New Roman" w:hAnsi="Cambria" w:cs="Times New Roman"/>
          <w:color w:val="000000"/>
          <w:sz w:val="24"/>
          <w:szCs w:val="24"/>
        </w:rPr>
        <w:t>two</w:t>
      </w:r>
      <w:r w:rsidRPr="00DE749A">
        <w:rPr>
          <w:rFonts w:ascii="Cambria" w:eastAsia="Times New Roman" w:hAnsi="Cambria" w:cs="Times New Roman"/>
          <w:color w:val="000000"/>
          <w:sz w:val="24"/>
          <w:szCs w:val="24"/>
        </w:rPr>
        <w:t xml:space="preserve"> acquittals and </w:t>
      </w:r>
      <w:r w:rsidR="00B73659">
        <w:rPr>
          <w:rFonts w:ascii="Cambria" w:eastAsia="Times New Roman" w:hAnsi="Cambria" w:cs="Times New Roman"/>
          <w:color w:val="000000"/>
          <w:sz w:val="24"/>
          <w:szCs w:val="24"/>
        </w:rPr>
        <w:t>two</w:t>
      </w:r>
      <w:r w:rsidRPr="00DE749A">
        <w:rPr>
          <w:rFonts w:ascii="Cambria" w:eastAsia="Times New Roman" w:hAnsi="Cambria" w:cs="Times New Roman"/>
          <w:color w:val="000000"/>
          <w:sz w:val="24"/>
          <w:szCs w:val="24"/>
        </w:rPr>
        <w:t xml:space="preserve"> death sentences against </w:t>
      </w:r>
      <w:r w:rsidR="00B73659">
        <w:rPr>
          <w:rFonts w:ascii="Cambria" w:eastAsia="Times New Roman" w:hAnsi="Cambria" w:cs="Times New Roman"/>
          <w:color w:val="000000"/>
          <w:sz w:val="24"/>
          <w:szCs w:val="24"/>
        </w:rPr>
        <w:t>11</w:t>
      </w:r>
      <w:r w:rsidRPr="00DE749A">
        <w:rPr>
          <w:rFonts w:ascii="Cambria" w:eastAsia="Times New Roman" w:hAnsi="Cambria" w:cs="Times New Roman"/>
          <w:color w:val="000000"/>
          <w:sz w:val="24"/>
          <w:szCs w:val="24"/>
        </w:rPr>
        <w:t xml:space="preserve"> defendants.</w:t>
      </w:r>
    </w:p>
    <w:p w:rsidR="00DE749A" w:rsidRPr="00DE749A" w:rsidRDefault="00DE749A" w:rsidP="00B73659">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The distribution of the </w:t>
      </w:r>
      <w:r w:rsidR="00B73659" w:rsidRPr="00B73659">
        <w:rPr>
          <w:rFonts w:ascii="Cambria" w:eastAsia="Times New Roman" w:hAnsi="Cambria" w:cs="Times New Roman"/>
          <w:color w:val="000000"/>
          <w:sz w:val="24"/>
          <w:szCs w:val="24"/>
        </w:rPr>
        <w:t xml:space="preserve">46 </w:t>
      </w:r>
      <w:r w:rsidRPr="00DE749A">
        <w:rPr>
          <w:rFonts w:ascii="Cambria" w:eastAsia="Times New Roman" w:hAnsi="Cambria" w:cs="Times New Roman"/>
          <w:color w:val="000000"/>
          <w:sz w:val="24"/>
          <w:szCs w:val="24"/>
        </w:rPr>
        <w:t>ongoing trials is as follows:</w:t>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32 trials for the MB &amp; NASL.</w:t>
      </w:r>
    </w:p>
    <w:p w:rsidR="00DE749A" w:rsidRPr="00DE749A" w:rsidRDefault="00DE749A" w:rsidP="00B73659">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 </w:t>
      </w:r>
      <w:r w:rsidR="00B73659">
        <w:rPr>
          <w:rFonts w:ascii="Cambria" w:eastAsia="Times New Roman" w:hAnsi="Cambria" w:cs="Times New Roman"/>
          <w:color w:val="000000"/>
          <w:sz w:val="24"/>
          <w:szCs w:val="24"/>
        </w:rPr>
        <w:t>7</w:t>
      </w:r>
      <w:r w:rsidRPr="00DE749A">
        <w:rPr>
          <w:rFonts w:ascii="Cambria" w:eastAsia="Times New Roman" w:hAnsi="Cambria" w:cs="Times New Roman"/>
          <w:color w:val="000000"/>
          <w:sz w:val="24"/>
          <w:szCs w:val="24"/>
        </w:rPr>
        <w:t xml:space="preserve"> trials of the civil and democratic powers.</w:t>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3 trials for Mubarak’s regime’s affiliates.</w:t>
      </w:r>
    </w:p>
    <w:p w:rsidR="00DE749A" w:rsidRPr="00DE749A" w:rsidRDefault="00DE749A" w:rsidP="00B73659">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 </w:t>
      </w:r>
      <w:r w:rsidR="00B73659">
        <w:rPr>
          <w:rFonts w:ascii="Cambria" w:eastAsia="Times New Roman" w:hAnsi="Cambria" w:cs="Times New Roman"/>
          <w:color w:val="000000"/>
          <w:sz w:val="24"/>
          <w:szCs w:val="24"/>
        </w:rPr>
        <w:t xml:space="preserve">1 trial </w:t>
      </w:r>
      <w:r w:rsidRPr="00DE749A">
        <w:rPr>
          <w:rFonts w:ascii="Cambria" w:eastAsia="Times New Roman" w:hAnsi="Cambria" w:cs="Times New Roman"/>
          <w:color w:val="000000"/>
          <w:sz w:val="24"/>
          <w:szCs w:val="24"/>
        </w:rPr>
        <w:t>for affiliates of the post June 30th regime</w:t>
      </w:r>
    </w:p>
    <w:p w:rsidR="00DE749A" w:rsidRPr="00DE749A" w:rsidRDefault="00567588" w:rsidP="00B73659">
      <w:pPr>
        <w:bidi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5680" behindDoc="0" locked="0" layoutInCell="1" allowOverlap="1">
            <wp:simplePos x="0" y="0"/>
            <wp:positionH relativeFrom="column">
              <wp:posOffset>792480</wp:posOffset>
            </wp:positionH>
            <wp:positionV relativeFrom="paragraph">
              <wp:posOffset>464185</wp:posOffset>
            </wp:positionV>
            <wp:extent cx="4135120" cy="5181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نسب-المئوية-للمحاكمات-المتداولة.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5120" cy="5181600"/>
                    </a:xfrm>
                    <a:prstGeom prst="rect">
                      <a:avLst/>
                    </a:prstGeom>
                  </pic:spPr>
                </pic:pic>
              </a:graphicData>
            </a:graphic>
            <wp14:sizeRelH relativeFrom="margin">
              <wp14:pctWidth>0</wp14:pctWidth>
            </wp14:sizeRelH>
            <wp14:sizeRelV relativeFrom="margin">
              <wp14:pctHeight>0</wp14:pctHeight>
            </wp14:sizeRelV>
          </wp:anchor>
        </w:drawing>
      </w:r>
      <w:r w:rsidR="00DE749A" w:rsidRPr="00DE749A">
        <w:rPr>
          <w:rFonts w:ascii="Cambria" w:eastAsia="Times New Roman" w:hAnsi="Cambria" w:cs="Times New Roman"/>
          <w:color w:val="000000"/>
          <w:sz w:val="24"/>
          <w:szCs w:val="24"/>
        </w:rPr>
        <w:t xml:space="preserve">* The military judiciary considered </w:t>
      </w:r>
      <w:r w:rsidR="00B73659">
        <w:rPr>
          <w:rFonts w:ascii="Cambria" w:eastAsia="Times New Roman" w:hAnsi="Cambria" w:cs="Times New Roman"/>
          <w:color w:val="000000"/>
          <w:sz w:val="24"/>
          <w:szCs w:val="24"/>
        </w:rPr>
        <w:t>3 trials for 827</w:t>
      </w:r>
      <w:r w:rsidR="00DE749A" w:rsidRPr="00DE749A">
        <w:rPr>
          <w:rFonts w:ascii="Cambria" w:eastAsia="Times New Roman" w:hAnsi="Cambria" w:cs="Times New Roman"/>
          <w:color w:val="000000"/>
          <w:sz w:val="24"/>
          <w:szCs w:val="24"/>
        </w:rPr>
        <w:t xml:space="preserve"> civilians</w:t>
      </w:r>
    </w:p>
    <w:p w:rsidR="00DE749A" w:rsidRPr="00DE749A" w:rsidRDefault="00DE749A" w:rsidP="00DE749A">
      <w:pPr>
        <w:bidi w:val="0"/>
        <w:spacing w:line="240" w:lineRule="auto"/>
        <w:rPr>
          <w:rFonts w:ascii="Times New Roman" w:eastAsia="Times New Roman" w:hAnsi="Times New Roman" w:cs="Times New Roman"/>
          <w:sz w:val="24"/>
          <w:szCs w:val="24"/>
        </w:rPr>
      </w:pPr>
    </w:p>
    <w:p w:rsidR="00567588" w:rsidRDefault="00567588" w:rsidP="00DE749A">
      <w:pPr>
        <w:bidi w:val="0"/>
        <w:spacing w:after="240" w:line="240" w:lineRule="auto"/>
        <w:rPr>
          <w:rFonts w:ascii="Cambria" w:eastAsia="Times New Roman" w:hAnsi="Cambria" w:cs="Times New Roman"/>
          <w:b/>
          <w:bCs/>
          <w:color w:val="000000"/>
          <w:sz w:val="24"/>
          <w:szCs w:val="24"/>
        </w:rPr>
      </w:pPr>
    </w:p>
    <w:p w:rsidR="00DE749A" w:rsidRPr="00DE749A" w:rsidRDefault="00DE749A" w:rsidP="00567588">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rPr>
        <w:t>The most prominent trials of MB and NASL are:</w:t>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The cases known in the media as: (Talat Harb incidents, Isis's Upper Egypt Province, Rabaa Sit-in dispersal, arson of Al-Atamna Police Station, ar</w:t>
      </w:r>
      <w:r w:rsidR="00B73659">
        <w:rPr>
          <w:rFonts w:ascii="Cambria" w:eastAsia="Times New Roman" w:hAnsi="Cambria" w:cs="Times New Roman"/>
          <w:color w:val="000000"/>
          <w:sz w:val="24"/>
          <w:szCs w:val="24"/>
        </w:rPr>
        <w:t>son of Kafr Hakim Church, Helwan</w:t>
      </w:r>
      <w:r w:rsidRPr="00DE749A">
        <w:rPr>
          <w:rFonts w:ascii="Cambria" w:eastAsia="Times New Roman" w:hAnsi="Cambria" w:cs="Times New Roman"/>
          <w:color w:val="000000"/>
          <w:sz w:val="24"/>
          <w:szCs w:val="24"/>
        </w:rPr>
        <w:t xml:space="preserve"> Brigades, Al-Nusra Front, Al-Moski violence incidents, raiding Al-Arab Police Station, May 15 violence incidents, raiding Al-Tebbein Police Station, Al-Masara Cell, raiding Kerdasa Police Station, Al-Maghara </w:t>
      </w:r>
      <w:r w:rsidR="00664924" w:rsidRPr="00DE749A">
        <w:rPr>
          <w:rFonts w:ascii="Cambria" w:eastAsia="Times New Roman" w:hAnsi="Cambria" w:cs="Times New Roman"/>
          <w:color w:val="000000"/>
          <w:sz w:val="24"/>
          <w:szCs w:val="24"/>
        </w:rPr>
        <w:t>incidents</w:t>
      </w:r>
      <w:r w:rsidRPr="00DE749A">
        <w:rPr>
          <w:rFonts w:ascii="Cambria" w:eastAsia="Times New Roman" w:hAnsi="Cambria" w:cs="Times New Roman"/>
          <w:color w:val="000000"/>
          <w:sz w:val="24"/>
          <w:szCs w:val="24"/>
        </w:rPr>
        <w:t>)</w:t>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rPr>
        <w:t>The most prominent trials of Mubarak regime figures are:</w:t>
      </w:r>
    </w:p>
    <w:p w:rsidR="00DE749A" w:rsidRPr="00DE749A" w:rsidRDefault="00DE749A" w:rsidP="00664924">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The cases known in the media as: (</w:t>
      </w:r>
      <w:r w:rsidR="00664924">
        <w:rPr>
          <w:rFonts w:ascii="Cambria" w:eastAsia="Times New Roman" w:hAnsi="Cambria" w:cs="Times New Roman"/>
          <w:color w:val="000000"/>
          <w:sz w:val="24"/>
          <w:szCs w:val="24"/>
        </w:rPr>
        <w:t xml:space="preserve">The Green Belt, </w:t>
      </w:r>
      <w:r w:rsidRPr="00DE749A">
        <w:rPr>
          <w:rFonts w:ascii="Cambria" w:eastAsia="Times New Roman" w:hAnsi="Cambria" w:cs="Times New Roman"/>
          <w:color w:val="000000"/>
          <w:sz w:val="24"/>
          <w:szCs w:val="24"/>
        </w:rPr>
        <w:t xml:space="preserve">customs </w:t>
      </w:r>
      <w:r w:rsidR="00664924">
        <w:rPr>
          <w:rFonts w:ascii="Cambria" w:eastAsia="Times New Roman" w:hAnsi="Cambria" w:cs="Times New Roman"/>
          <w:color w:val="000000"/>
          <w:sz w:val="24"/>
          <w:szCs w:val="24"/>
        </w:rPr>
        <w:t>corruption and the License Plates</w:t>
      </w:r>
      <w:r w:rsidRPr="00DE749A">
        <w:rPr>
          <w:rFonts w:ascii="Cambria" w:eastAsia="Times New Roman" w:hAnsi="Cambria" w:cs="Times New Roman"/>
          <w:color w:val="000000"/>
          <w:sz w:val="24"/>
          <w:szCs w:val="24"/>
        </w:rPr>
        <w:t>). </w:t>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rPr>
        <w:lastRenderedPageBreak/>
        <w:t>The most prominent trials of civil and democratic powers are:</w:t>
      </w:r>
    </w:p>
    <w:p w:rsidR="00DE749A" w:rsidRPr="00DE749A" w:rsidRDefault="00DE749A" w:rsidP="00664924">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The cases known in the media as: (The Oppressed of Downtown, The trial of Al-Warraq Island residents, The Cabinet incidents, </w:t>
      </w:r>
      <w:r w:rsidR="00664924">
        <w:rPr>
          <w:rFonts w:ascii="Cambria" w:eastAsia="Times New Roman" w:hAnsi="Cambria" w:cs="Times New Roman"/>
          <w:color w:val="000000"/>
          <w:sz w:val="24"/>
          <w:szCs w:val="24"/>
        </w:rPr>
        <w:t xml:space="preserve">Trial of lawyer Zyiad El-Eleimy, </w:t>
      </w:r>
      <w:r w:rsidRPr="00DE749A">
        <w:rPr>
          <w:rFonts w:ascii="Cambria" w:eastAsia="Times New Roman" w:hAnsi="Cambria" w:cs="Times New Roman"/>
          <w:color w:val="000000"/>
          <w:sz w:val="24"/>
          <w:szCs w:val="24"/>
        </w:rPr>
        <w:t>the seizure of Dr. Hassan Nafaa's funds</w:t>
      </w:r>
      <w:r w:rsidR="00664924">
        <w:rPr>
          <w:rFonts w:ascii="Cambria" w:eastAsia="Times New Roman" w:hAnsi="Cambria" w:cs="Times New Roman"/>
          <w:color w:val="000000"/>
          <w:sz w:val="24"/>
          <w:szCs w:val="24"/>
        </w:rPr>
        <w:t>, and the trial of engineer Mamdouh Hamza</w:t>
      </w:r>
      <w:r w:rsidRPr="00DE749A">
        <w:rPr>
          <w:rFonts w:ascii="Cambria" w:eastAsia="Times New Roman" w:hAnsi="Cambria" w:cs="Times New Roman"/>
          <w:color w:val="000000"/>
          <w:sz w:val="24"/>
          <w:szCs w:val="24"/>
        </w:rPr>
        <w:t>).</w:t>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rPr>
        <w:t>The most prominent trials of post- June 30th regime’s affiliates are:</w:t>
      </w:r>
    </w:p>
    <w:p w:rsidR="00DE749A" w:rsidRPr="00DE749A" w:rsidRDefault="00DE749A" w:rsidP="00664924">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The cases known in the media as: (The Trial of Alexandria’s deputy governor on bribery charges)</w:t>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rPr>
        <w:t>The Military Trials of civilians:</w:t>
      </w:r>
    </w:p>
    <w:p w:rsidR="00664924" w:rsidRDefault="00DE749A" w:rsidP="00664924">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In the </w:t>
      </w:r>
      <w:r w:rsidR="00664924">
        <w:rPr>
          <w:rFonts w:ascii="Cambria" w:eastAsia="Times New Roman" w:hAnsi="Cambria" w:cs="Times New Roman"/>
          <w:color w:val="000000"/>
          <w:sz w:val="24"/>
          <w:szCs w:val="24"/>
        </w:rPr>
        <w:t>second</w:t>
      </w:r>
      <w:r w:rsidRPr="00DE749A">
        <w:rPr>
          <w:rFonts w:ascii="Cambria" w:eastAsia="Times New Roman" w:hAnsi="Cambria" w:cs="Times New Roman"/>
          <w:color w:val="000000"/>
          <w:sz w:val="24"/>
          <w:szCs w:val="24"/>
        </w:rPr>
        <w:t xml:space="preserve"> quarter of 2020, the military judiciary considered </w:t>
      </w:r>
      <w:r w:rsidR="00664924">
        <w:rPr>
          <w:rFonts w:ascii="Cambria" w:eastAsia="Times New Roman" w:hAnsi="Cambria" w:cs="Times New Roman"/>
          <w:color w:val="000000"/>
          <w:sz w:val="24"/>
          <w:szCs w:val="24"/>
        </w:rPr>
        <w:t>3</w:t>
      </w:r>
      <w:r w:rsidRPr="00DE749A">
        <w:rPr>
          <w:rFonts w:ascii="Cambria" w:eastAsia="Times New Roman" w:hAnsi="Cambria" w:cs="Times New Roman"/>
          <w:color w:val="000000"/>
          <w:sz w:val="24"/>
          <w:szCs w:val="24"/>
        </w:rPr>
        <w:t xml:space="preserve"> ongoing trials for </w:t>
      </w:r>
      <w:r w:rsidR="00664924">
        <w:rPr>
          <w:rFonts w:ascii="Cambria" w:eastAsia="Times New Roman" w:hAnsi="Cambria" w:cs="Times New Roman"/>
          <w:color w:val="000000"/>
          <w:sz w:val="24"/>
          <w:szCs w:val="24"/>
        </w:rPr>
        <w:t>827</w:t>
      </w:r>
      <w:r w:rsidRPr="00DE749A">
        <w:rPr>
          <w:rFonts w:ascii="Cambria" w:eastAsia="Times New Roman" w:hAnsi="Cambria" w:cs="Times New Roman"/>
          <w:color w:val="000000"/>
          <w:sz w:val="24"/>
          <w:szCs w:val="24"/>
        </w:rPr>
        <w:t xml:space="preserve"> civilians.</w:t>
      </w:r>
    </w:p>
    <w:p w:rsidR="00DE749A" w:rsidRPr="00664924" w:rsidRDefault="00DE749A" w:rsidP="00664924">
      <w:pPr>
        <w:pStyle w:val="ListParagraph"/>
        <w:numPr>
          <w:ilvl w:val="0"/>
          <w:numId w:val="12"/>
        </w:numPr>
        <w:bidi w:val="0"/>
        <w:spacing w:after="240" w:line="240" w:lineRule="auto"/>
        <w:rPr>
          <w:rFonts w:ascii="Times New Roman" w:eastAsia="Times New Roman" w:hAnsi="Times New Roman" w:cs="Times New Roman"/>
          <w:sz w:val="24"/>
          <w:szCs w:val="24"/>
        </w:rPr>
      </w:pPr>
      <w:r w:rsidRPr="00664924">
        <w:rPr>
          <w:rFonts w:ascii="Cambria" w:eastAsia="Times New Roman" w:hAnsi="Cambria" w:cs="Times New Roman"/>
          <w:b/>
          <w:bCs/>
          <w:color w:val="000000"/>
          <w:sz w:val="24"/>
          <w:szCs w:val="24"/>
        </w:rPr>
        <w:t>Sentences </w:t>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During the reporting period,</w:t>
      </w:r>
      <w:r w:rsidR="00BE6082">
        <w:rPr>
          <w:rFonts w:ascii="Cambria" w:eastAsia="Times New Roman" w:hAnsi="Cambria" w:cs="Times New Roman"/>
          <w:color w:val="000000"/>
          <w:sz w:val="24"/>
          <w:szCs w:val="24"/>
        </w:rPr>
        <w:t xml:space="preserve"> there were 17 convictions and 2</w:t>
      </w:r>
      <w:r w:rsidRPr="00DE749A">
        <w:rPr>
          <w:rFonts w:ascii="Cambria" w:eastAsia="Times New Roman" w:hAnsi="Cambria" w:cs="Times New Roman"/>
          <w:color w:val="000000"/>
          <w:sz w:val="24"/>
          <w:szCs w:val="24"/>
        </w:rPr>
        <w:t xml:space="preserve"> acquittals. The details are as follows:</w:t>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Convictions:</w:t>
      </w:r>
    </w:p>
    <w:p w:rsidR="00DE749A" w:rsidRPr="00DE749A" w:rsidRDefault="00DE749A" w:rsidP="00BE6082">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During the </w:t>
      </w:r>
      <w:r w:rsidR="00BE6082">
        <w:rPr>
          <w:rFonts w:ascii="Cambria" w:eastAsia="Times New Roman" w:hAnsi="Cambria" w:cs="Times New Roman"/>
          <w:color w:val="000000"/>
          <w:sz w:val="24"/>
          <w:szCs w:val="24"/>
        </w:rPr>
        <w:t>second</w:t>
      </w:r>
      <w:r w:rsidRPr="00DE749A">
        <w:rPr>
          <w:rFonts w:ascii="Cambria" w:eastAsia="Times New Roman" w:hAnsi="Cambria" w:cs="Times New Roman"/>
          <w:color w:val="000000"/>
          <w:sz w:val="24"/>
          <w:szCs w:val="24"/>
        </w:rPr>
        <w:t xml:space="preserve"> quarter of the year, the Egyptian judiciary issued 17 convictions, distributed as follows:</w:t>
      </w:r>
    </w:p>
    <w:p w:rsidR="00DE749A" w:rsidRPr="00DE749A" w:rsidRDefault="00DE749A" w:rsidP="00BE6082">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 </w:t>
      </w:r>
      <w:r w:rsidR="00BE6082">
        <w:rPr>
          <w:rFonts w:ascii="Cambria" w:eastAsia="Times New Roman" w:hAnsi="Cambria" w:cs="Times New Roman"/>
          <w:color w:val="000000"/>
          <w:sz w:val="24"/>
          <w:szCs w:val="24"/>
        </w:rPr>
        <w:t>15</w:t>
      </w:r>
      <w:r w:rsidRPr="00DE749A">
        <w:rPr>
          <w:rFonts w:ascii="Cambria" w:eastAsia="Times New Roman" w:hAnsi="Cambria" w:cs="Times New Roman"/>
          <w:color w:val="000000"/>
          <w:sz w:val="24"/>
          <w:szCs w:val="24"/>
        </w:rPr>
        <w:t xml:space="preserve"> rulings against the Muslim Brotherhood (MB) and the National Alliance for the Support of Legitimacy (NASL).</w:t>
      </w:r>
    </w:p>
    <w:p w:rsidR="00DE749A" w:rsidRDefault="00BE6082" w:rsidP="00BE6082">
      <w:pPr>
        <w:bidi w:val="0"/>
        <w:spacing w:after="24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 Two </w:t>
      </w:r>
      <w:r w:rsidR="00DE749A" w:rsidRPr="00DE749A">
        <w:rPr>
          <w:rFonts w:ascii="Cambria" w:eastAsia="Times New Roman" w:hAnsi="Cambria" w:cs="Times New Roman"/>
          <w:color w:val="000000"/>
          <w:sz w:val="24"/>
          <w:szCs w:val="24"/>
        </w:rPr>
        <w:t>ruling</w:t>
      </w:r>
      <w:r>
        <w:rPr>
          <w:rFonts w:ascii="Cambria" w:eastAsia="Times New Roman" w:hAnsi="Cambria" w:cs="Times New Roman"/>
          <w:color w:val="000000"/>
          <w:sz w:val="24"/>
          <w:szCs w:val="24"/>
        </w:rPr>
        <w:t xml:space="preserve">s </w:t>
      </w:r>
      <w:r w:rsidR="00DE749A" w:rsidRPr="00DE749A">
        <w:rPr>
          <w:rFonts w:ascii="Cambria" w:eastAsia="Times New Roman" w:hAnsi="Cambria" w:cs="Times New Roman"/>
          <w:color w:val="000000"/>
          <w:sz w:val="24"/>
          <w:szCs w:val="24"/>
        </w:rPr>
        <w:t>against defendants in the civil democratic forces’ cases</w:t>
      </w:r>
    </w:p>
    <w:p w:rsidR="00567588" w:rsidRPr="00DE749A" w:rsidRDefault="00567588" w:rsidP="00567588">
      <w:pPr>
        <w:bidi w:val="0"/>
        <w:spacing w:after="240" w:line="240" w:lineRule="auto"/>
        <w:rPr>
          <w:rFonts w:ascii="Times New Roman" w:eastAsia="Times New Roman" w:hAnsi="Times New Roman" w:cs="Times New Roman"/>
          <w:sz w:val="24"/>
          <w:szCs w:val="24"/>
        </w:rPr>
      </w:pPr>
    </w:p>
    <w:p w:rsidR="00DE749A" w:rsidRPr="00DE749A" w:rsidRDefault="00B42509" w:rsidP="00DE749A">
      <w:pPr>
        <w:bidi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670560</wp:posOffset>
            </wp:positionH>
            <wp:positionV relativeFrom="paragraph">
              <wp:posOffset>-497840</wp:posOffset>
            </wp:positionV>
            <wp:extent cx="4122420" cy="258254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توزيع-أحكام-الإدانة.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2420" cy="2582545"/>
                    </a:xfrm>
                    <a:prstGeom prst="rect">
                      <a:avLst/>
                    </a:prstGeom>
                  </pic:spPr>
                </pic:pic>
              </a:graphicData>
            </a:graphic>
            <wp14:sizeRelH relativeFrom="margin">
              <wp14:pctWidth>0</wp14:pctWidth>
            </wp14:sizeRelH>
            <wp14:sizeRelV relativeFrom="margin">
              <wp14:pctHeight>0</wp14:pctHeight>
            </wp14:sizeRelV>
          </wp:anchor>
        </w:drawing>
      </w: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Acquittals:</w:t>
      </w:r>
    </w:p>
    <w:p w:rsidR="00941123" w:rsidRDefault="00DE749A" w:rsidP="00941123">
      <w:pPr>
        <w:bidi w:val="0"/>
        <w:spacing w:after="240" w:line="240" w:lineRule="auto"/>
        <w:rPr>
          <w:rFonts w:ascii="Cambria" w:eastAsia="Times New Roman" w:hAnsi="Cambria" w:cs="Times New Roman"/>
          <w:color w:val="000000"/>
          <w:sz w:val="24"/>
          <w:szCs w:val="24"/>
        </w:rPr>
      </w:pPr>
      <w:r w:rsidRPr="00DE749A">
        <w:rPr>
          <w:rFonts w:ascii="Cambria" w:eastAsia="Times New Roman" w:hAnsi="Cambria" w:cs="Times New Roman"/>
          <w:color w:val="000000"/>
          <w:sz w:val="24"/>
          <w:szCs w:val="24"/>
        </w:rPr>
        <w:t>During t</w:t>
      </w:r>
      <w:r w:rsidR="00941123">
        <w:rPr>
          <w:rFonts w:ascii="Cambria" w:eastAsia="Times New Roman" w:hAnsi="Cambria" w:cs="Times New Roman"/>
          <w:color w:val="000000"/>
          <w:sz w:val="24"/>
          <w:szCs w:val="24"/>
        </w:rPr>
        <w:t xml:space="preserve">he first quarter of the year, two </w:t>
      </w:r>
      <w:r w:rsidRPr="00DE749A">
        <w:rPr>
          <w:rFonts w:ascii="Cambria" w:eastAsia="Times New Roman" w:hAnsi="Cambria" w:cs="Times New Roman"/>
          <w:color w:val="000000"/>
          <w:sz w:val="24"/>
          <w:szCs w:val="24"/>
        </w:rPr>
        <w:t>acquittals had been handed down</w:t>
      </w:r>
      <w:r w:rsidR="00941123">
        <w:rPr>
          <w:rFonts w:ascii="Cambria" w:eastAsia="Times New Roman" w:hAnsi="Cambria" w:cs="Times New Roman"/>
          <w:color w:val="000000"/>
          <w:sz w:val="24"/>
          <w:szCs w:val="24"/>
        </w:rPr>
        <w:t xml:space="preserve"> for </w:t>
      </w:r>
      <w:r w:rsidR="00941123" w:rsidRPr="00941123">
        <w:rPr>
          <w:rFonts w:ascii="Cambria" w:eastAsia="Times New Roman" w:hAnsi="Cambria" w:cs="Times New Roman"/>
          <w:color w:val="000000"/>
          <w:sz w:val="24"/>
          <w:szCs w:val="24"/>
        </w:rPr>
        <w:t>the MB and NASL affiliates</w:t>
      </w:r>
      <w:r w:rsidR="00941123">
        <w:rPr>
          <w:rFonts w:ascii="Cambria" w:eastAsia="Times New Roman" w:hAnsi="Cambria" w:cs="Times New Roman"/>
          <w:color w:val="000000"/>
          <w:sz w:val="24"/>
          <w:szCs w:val="24"/>
        </w:rPr>
        <w:t xml:space="preserve">. </w:t>
      </w:r>
    </w:p>
    <w:p w:rsidR="00DE749A" w:rsidRPr="00DE749A" w:rsidRDefault="00DE749A" w:rsidP="00DE749A">
      <w:pPr>
        <w:bidi w:val="0"/>
        <w:spacing w:line="240" w:lineRule="auto"/>
        <w:rPr>
          <w:rFonts w:ascii="Times New Roman" w:eastAsia="Times New Roman" w:hAnsi="Times New Roman" w:cs="Times New Roman"/>
          <w:sz w:val="24"/>
          <w:szCs w:val="24"/>
        </w:rPr>
      </w:pP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Death sentences</w:t>
      </w:r>
    </w:p>
    <w:p w:rsidR="00DE749A" w:rsidRPr="00DE749A" w:rsidRDefault="00DE749A" w:rsidP="00941123">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Four death sentences were issued against </w:t>
      </w:r>
      <w:r w:rsidR="00941123">
        <w:rPr>
          <w:rFonts w:ascii="Cambria" w:eastAsia="Times New Roman" w:hAnsi="Cambria" w:cs="Times New Roman"/>
          <w:color w:val="000000"/>
          <w:sz w:val="24"/>
          <w:szCs w:val="24"/>
        </w:rPr>
        <w:t>11</w:t>
      </w:r>
      <w:r w:rsidRPr="00DE749A">
        <w:rPr>
          <w:rFonts w:ascii="Cambria" w:eastAsia="Times New Roman" w:hAnsi="Cambria" w:cs="Times New Roman"/>
          <w:color w:val="000000"/>
          <w:sz w:val="24"/>
          <w:szCs w:val="24"/>
        </w:rPr>
        <w:t xml:space="preserve"> defendants during the </w:t>
      </w:r>
      <w:r w:rsidR="00941123">
        <w:rPr>
          <w:rFonts w:ascii="Cambria" w:eastAsia="Times New Roman" w:hAnsi="Cambria" w:cs="Times New Roman"/>
          <w:color w:val="000000"/>
          <w:sz w:val="24"/>
          <w:szCs w:val="24"/>
        </w:rPr>
        <w:t xml:space="preserve">second quarter of 2020, in addition to the execution of Abdel Rahim el-Mesmary in the case of "Al-Wahat checkpoint", </w:t>
      </w:r>
      <w:r w:rsidRPr="00DE749A">
        <w:rPr>
          <w:rFonts w:ascii="Cambria" w:eastAsia="Times New Roman" w:hAnsi="Cambria" w:cs="Times New Roman"/>
          <w:color w:val="000000"/>
          <w:sz w:val="24"/>
          <w:szCs w:val="24"/>
        </w:rPr>
        <w:t>as shown in the following table:</w:t>
      </w:r>
    </w:p>
    <w:p w:rsidR="00DE749A" w:rsidRPr="00DE749A" w:rsidRDefault="00B42509" w:rsidP="00DE749A">
      <w:pPr>
        <w:bidi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1824" behindDoc="0" locked="0" layoutInCell="1" allowOverlap="1">
            <wp:simplePos x="0" y="0"/>
            <wp:positionH relativeFrom="column">
              <wp:posOffset>1043940</wp:posOffset>
            </wp:positionH>
            <wp:positionV relativeFrom="paragraph">
              <wp:posOffset>968375</wp:posOffset>
            </wp:positionV>
            <wp:extent cx="3642360" cy="34912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أحكام-الإعدام.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2360" cy="3491230"/>
                    </a:xfrm>
                    <a:prstGeom prst="rect">
                      <a:avLst/>
                    </a:prstGeom>
                  </pic:spPr>
                </pic:pic>
              </a:graphicData>
            </a:graphic>
            <wp14:sizeRelH relativeFrom="margin">
              <wp14:pctWidth>0</wp14:pctWidth>
            </wp14:sizeRelH>
            <wp14:sizeRelV relativeFrom="margin">
              <wp14:pctHeight>0</wp14:pctHeight>
            </wp14:sizeRelV>
          </wp:anchor>
        </w:drawing>
      </w:r>
      <w:r w:rsidR="00DE749A" w:rsidRPr="00DE749A">
        <w:rPr>
          <w:rFonts w:ascii="Cambria" w:eastAsia="Times New Roman" w:hAnsi="Cambria" w:cs="Times New Roman"/>
          <w:b/>
          <w:bCs/>
          <w:color w:val="000000"/>
          <w:sz w:val="24"/>
          <w:szCs w:val="24"/>
        </w:rPr>
        <w:t>1- Rulings </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764"/>
        <w:gridCol w:w="4488"/>
        <w:gridCol w:w="4096"/>
      </w:tblGrid>
      <w:tr w:rsidR="00DE749A" w:rsidRPr="00DE749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Death sentences issued by military courts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Death sentences issued by civil courts</w:t>
            </w:r>
          </w:p>
        </w:tc>
      </w:tr>
      <w:tr w:rsidR="00DE749A" w:rsidRPr="00DE749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after="240"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after="240"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after="240"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2</w:t>
            </w:r>
          </w:p>
        </w:tc>
      </w:tr>
    </w:tbl>
    <w:p w:rsidR="00DE749A" w:rsidRPr="00DE749A" w:rsidRDefault="00DE749A" w:rsidP="00DE749A">
      <w:pPr>
        <w:bidi w:val="0"/>
        <w:spacing w:line="240" w:lineRule="auto"/>
        <w:rPr>
          <w:rFonts w:ascii="Times New Roman" w:eastAsia="Times New Roman" w:hAnsi="Times New Roman" w:cs="Times New Roman"/>
          <w:sz w:val="24"/>
          <w:szCs w:val="24"/>
        </w:rPr>
      </w:pPr>
    </w:p>
    <w:p w:rsidR="00DE749A" w:rsidRPr="00DE749A" w:rsidRDefault="00DE749A" w:rsidP="00DE749A">
      <w:pPr>
        <w:bidi w:val="0"/>
        <w:spacing w:after="24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rPr>
        <w:t>2- Defendants</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777"/>
        <w:gridCol w:w="2409"/>
        <w:gridCol w:w="2183"/>
        <w:gridCol w:w="1938"/>
        <w:gridCol w:w="1043"/>
      </w:tblGrid>
      <w:tr w:rsidR="00DE749A" w:rsidRPr="00DE749A" w:rsidTr="00DE749A">
        <w:trPr>
          <w:trHeight w:val="2151"/>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after="240" w:line="240" w:lineRule="auto"/>
              <w:rPr>
                <w:rFonts w:ascii="Times New Roman" w:eastAsia="Times New Roman" w:hAnsi="Times New Roman" w:cs="Times New Roman"/>
                <w:sz w:val="24"/>
                <w:szCs w:val="24"/>
              </w:rPr>
            </w:pPr>
          </w:p>
          <w:p w:rsidR="00DE749A" w:rsidRPr="00DE749A" w:rsidRDefault="00DE749A" w:rsidP="00DE749A">
            <w:pPr>
              <w:bidi w:val="0"/>
              <w:spacing w:after="360"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 (Number of defendants)</w:t>
            </w:r>
          </w:p>
          <w:p w:rsidR="00DE749A" w:rsidRPr="00DE749A" w:rsidRDefault="00DE749A" w:rsidP="00DE749A">
            <w:pPr>
              <w:bidi w:val="0"/>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Number of defendants upheld by the Court of Cassation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Number of defendants upheld by the Mufti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after="240" w:line="240" w:lineRule="auto"/>
              <w:rPr>
                <w:rFonts w:ascii="Times New Roman" w:eastAsia="Times New Roman" w:hAnsi="Times New Roman" w:cs="Times New Roman"/>
                <w:sz w:val="24"/>
                <w:szCs w:val="24"/>
              </w:rPr>
            </w:pPr>
          </w:p>
          <w:p w:rsidR="00DE749A" w:rsidRPr="00DE749A" w:rsidRDefault="00DE749A" w:rsidP="00DE749A">
            <w:pPr>
              <w:bidi w:val="0"/>
              <w:spacing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Number of defendants referred to the Mufti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line="240" w:lineRule="auto"/>
              <w:rPr>
                <w:rFonts w:ascii="Times New Roman" w:eastAsia="Times New Roman" w:hAnsi="Times New Roman" w:cs="Times New Roman"/>
                <w:sz w:val="24"/>
                <w:szCs w:val="24"/>
              </w:rPr>
            </w:pPr>
          </w:p>
        </w:tc>
      </w:tr>
      <w:tr w:rsidR="00DE749A" w:rsidRPr="00DE749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Civil</w:t>
            </w:r>
          </w:p>
        </w:tc>
      </w:tr>
      <w:tr w:rsidR="000F54CB" w:rsidRPr="00DE749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54CB" w:rsidRPr="00E07FEB" w:rsidRDefault="000F54CB" w:rsidP="000F54CB">
            <w:pPr>
              <w:jc w:val="center"/>
              <w:rPr>
                <w:rFonts w:ascii="Cambria" w:eastAsia="Times New Roman" w:hAnsi="Cambria" w:cs="Times New Roman"/>
                <w:color w:val="000000"/>
                <w:sz w:val="24"/>
                <w:szCs w:val="24"/>
              </w:rPr>
            </w:pPr>
            <w:r w:rsidRPr="000F54CB">
              <w:rPr>
                <w:rFonts w:ascii="Cambria" w:eastAsia="Times New Roman" w:hAnsi="Cambria" w:cs="Times New Roman"/>
                <w:color w:val="000000"/>
                <w:sz w:val="24"/>
                <w:szCs w:val="24"/>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54CB" w:rsidRPr="00E07FEB" w:rsidRDefault="000F54CB" w:rsidP="000F54CB">
            <w:pPr>
              <w:jc w:val="center"/>
              <w:rPr>
                <w:rFonts w:ascii="Cambria" w:eastAsia="Times New Roman" w:hAnsi="Cambria" w:cs="Times New Roman"/>
                <w:color w:val="000000"/>
                <w:sz w:val="24"/>
                <w:szCs w:val="24"/>
              </w:rPr>
            </w:pPr>
            <w:r w:rsidRPr="000F54CB">
              <w:rPr>
                <w:rFonts w:ascii="Cambria" w:eastAsia="Times New Roman" w:hAnsi="Cambria" w:cs="Times New Roman"/>
                <w:color w:val="000000"/>
                <w:sz w:val="24"/>
                <w:szCs w:val="24"/>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54CB" w:rsidRDefault="000F54CB" w:rsidP="000F54CB">
            <w:pPr>
              <w:jc w:val="center"/>
              <w:rPr>
                <w:lang w:bidi="ar-EG"/>
              </w:rPr>
            </w:pPr>
            <w:r w:rsidRPr="000F54CB">
              <w:rPr>
                <w:rtl/>
                <w:lang w:bidi="ar-EG"/>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Military</w:t>
            </w:r>
          </w:p>
        </w:tc>
      </w:tr>
      <w:tr w:rsidR="00DE749A" w:rsidRPr="00DE749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0F54C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w:t>
            </w:r>
          </w:p>
        </w:tc>
      </w:tr>
    </w:tbl>
    <w:p w:rsidR="00DE749A" w:rsidRPr="00DE749A" w:rsidRDefault="00DE749A" w:rsidP="00DE749A">
      <w:pPr>
        <w:bidi w:val="0"/>
        <w:spacing w:line="240" w:lineRule="auto"/>
        <w:rPr>
          <w:rFonts w:ascii="Times New Roman" w:eastAsia="Times New Roman" w:hAnsi="Times New Roman" w:cs="Times New Roman"/>
          <w:sz w:val="24"/>
          <w:szCs w:val="24"/>
        </w:rPr>
      </w:pPr>
    </w:p>
    <w:p w:rsidR="00B42509" w:rsidRDefault="00B42509" w:rsidP="00DE749A">
      <w:pPr>
        <w:bidi w:val="0"/>
        <w:spacing w:after="120" w:line="240" w:lineRule="auto"/>
        <w:rPr>
          <w:rFonts w:ascii="Cambria" w:eastAsia="Times New Roman" w:hAnsi="Cambria" w:cs="Times New Roman"/>
          <w:b/>
          <w:bCs/>
          <w:color w:val="000000"/>
          <w:sz w:val="24"/>
          <w:szCs w:val="24"/>
        </w:rPr>
      </w:pPr>
    </w:p>
    <w:p w:rsidR="00B42509" w:rsidRDefault="00B42509" w:rsidP="00B42509">
      <w:pPr>
        <w:bidi w:val="0"/>
        <w:spacing w:after="120" w:line="240" w:lineRule="auto"/>
        <w:rPr>
          <w:rFonts w:ascii="Cambria" w:eastAsia="Times New Roman" w:hAnsi="Cambria" w:cs="Times New Roman"/>
          <w:b/>
          <w:bCs/>
          <w:color w:val="000000"/>
          <w:sz w:val="24"/>
          <w:szCs w:val="24"/>
        </w:rPr>
      </w:pPr>
    </w:p>
    <w:p w:rsidR="00DE749A" w:rsidRPr="00DE749A" w:rsidRDefault="00DE749A" w:rsidP="00B42509">
      <w:pPr>
        <w:bidi w:val="0"/>
        <w:spacing w:after="120" w:line="240" w:lineRule="auto"/>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rPr>
        <w:t>3- Death sentences executed:</w:t>
      </w:r>
    </w:p>
    <w:p w:rsidR="00DE749A" w:rsidRPr="00DE749A" w:rsidRDefault="00DE749A" w:rsidP="000F54CB">
      <w:pPr>
        <w:bidi w:val="0"/>
        <w:spacing w:after="12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The Prisons Authority sector </w:t>
      </w:r>
      <w:r w:rsidR="000F54CB" w:rsidRPr="00DE749A">
        <w:rPr>
          <w:rFonts w:ascii="Cambria" w:eastAsia="Times New Roman" w:hAnsi="Cambria" w:cs="Times New Roman"/>
          <w:color w:val="000000"/>
          <w:sz w:val="24"/>
          <w:szCs w:val="24"/>
        </w:rPr>
        <w:t>executed</w:t>
      </w:r>
      <w:r w:rsidR="000F54CB">
        <w:t>,</w:t>
      </w:r>
      <w:r w:rsidR="000F54CB" w:rsidRPr="000F54CB">
        <w:rPr>
          <w:rFonts w:ascii="Cambria" w:eastAsia="Times New Roman" w:hAnsi="Cambria" w:cs="Times New Roman"/>
          <w:color w:val="000000"/>
          <w:sz w:val="24"/>
          <w:szCs w:val="24"/>
        </w:rPr>
        <w:t xml:space="preserve"> in the month of June</w:t>
      </w:r>
      <w:r w:rsidR="000F54CB">
        <w:rPr>
          <w:rFonts w:ascii="Cambria" w:eastAsia="Times New Roman" w:hAnsi="Cambria" w:cs="Times New Roman"/>
          <w:color w:val="000000"/>
          <w:sz w:val="24"/>
          <w:szCs w:val="24"/>
        </w:rPr>
        <w:t>,</w:t>
      </w:r>
      <w:r w:rsidRPr="00DE749A">
        <w:rPr>
          <w:rFonts w:ascii="Cambria" w:eastAsia="Times New Roman" w:hAnsi="Cambria" w:cs="Times New Roman"/>
          <w:color w:val="000000"/>
          <w:sz w:val="24"/>
          <w:szCs w:val="24"/>
        </w:rPr>
        <w:t xml:space="preserve"> </w:t>
      </w:r>
      <w:r w:rsidR="000F54CB">
        <w:rPr>
          <w:rFonts w:ascii="Cambria" w:eastAsia="Times New Roman" w:hAnsi="Cambria" w:cs="Times New Roman"/>
          <w:color w:val="000000"/>
          <w:sz w:val="24"/>
          <w:szCs w:val="24"/>
        </w:rPr>
        <w:t>one death sentence</w:t>
      </w:r>
      <w:r w:rsidRPr="00DE749A">
        <w:rPr>
          <w:rFonts w:ascii="Cambria" w:eastAsia="Times New Roman" w:hAnsi="Cambria" w:cs="Times New Roman"/>
          <w:color w:val="000000"/>
          <w:sz w:val="24"/>
          <w:szCs w:val="24"/>
        </w:rPr>
        <w:t xml:space="preserve"> handed down against </w:t>
      </w:r>
      <w:r w:rsidR="000F54CB">
        <w:rPr>
          <w:rFonts w:ascii="Cambria" w:eastAsia="Times New Roman" w:hAnsi="Cambria" w:cs="Times New Roman"/>
          <w:color w:val="000000"/>
          <w:sz w:val="24"/>
          <w:szCs w:val="24"/>
        </w:rPr>
        <w:t>one</w:t>
      </w:r>
      <w:r w:rsidRPr="00DE749A">
        <w:rPr>
          <w:rFonts w:ascii="Cambria" w:eastAsia="Times New Roman" w:hAnsi="Cambria" w:cs="Times New Roman"/>
          <w:color w:val="000000"/>
          <w:sz w:val="24"/>
          <w:szCs w:val="24"/>
        </w:rPr>
        <w:t xml:space="preserve"> </w:t>
      </w:r>
      <w:r w:rsidR="000F54CB">
        <w:rPr>
          <w:rFonts w:ascii="Cambria" w:eastAsia="Times New Roman" w:hAnsi="Cambria" w:cs="Times New Roman"/>
          <w:color w:val="000000"/>
          <w:sz w:val="24"/>
          <w:szCs w:val="24"/>
        </w:rPr>
        <w:t>defendant</w:t>
      </w:r>
      <w:r w:rsidRPr="00DE749A">
        <w:rPr>
          <w:rFonts w:ascii="Cambria" w:eastAsia="Times New Roman" w:hAnsi="Cambria" w:cs="Times New Roman"/>
          <w:color w:val="000000"/>
          <w:sz w:val="24"/>
          <w:szCs w:val="24"/>
        </w:rPr>
        <w:t>:</w:t>
      </w:r>
    </w:p>
    <w:p w:rsidR="00DE749A" w:rsidRPr="00DE749A" w:rsidRDefault="00DE749A" w:rsidP="000F54CB">
      <w:pPr>
        <w:bidi w:val="0"/>
        <w:spacing w:after="120" w:line="240" w:lineRule="auto"/>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lastRenderedPageBreak/>
        <w:t xml:space="preserve">On </w:t>
      </w:r>
      <w:r w:rsidR="000F54CB">
        <w:rPr>
          <w:rFonts w:ascii="Cambria" w:eastAsia="Times New Roman" w:hAnsi="Cambria" w:cs="Times New Roman"/>
          <w:color w:val="000000"/>
          <w:sz w:val="24"/>
          <w:szCs w:val="24"/>
        </w:rPr>
        <w:t>27</w:t>
      </w:r>
      <w:r w:rsidRPr="00DE749A">
        <w:rPr>
          <w:rFonts w:ascii="Cambria" w:eastAsia="Times New Roman" w:hAnsi="Cambria" w:cs="Times New Roman"/>
          <w:color w:val="000000"/>
          <w:sz w:val="24"/>
          <w:szCs w:val="24"/>
        </w:rPr>
        <w:t xml:space="preserve"> </w:t>
      </w:r>
      <w:r w:rsidR="000F54CB">
        <w:rPr>
          <w:rFonts w:ascii="Cambria" w:eastAsia="Times New Roman" w:hAnsi="Cambria" w:cs="Times New Roman"/>
          <w:color w:val="000000"/>
          <w:sz w:val="24"/>
          <w:szCs w:val="24"/>
        </w:rPr>
        <w:t>June</w:t>
      </w:r>
      <w:r w:rsidRPr="00DE749A">
        <w:rPr>
          <w:rFonts w:ascii="Cambria" w:eastAsia="Times New Roman" w:hAnsi="Cambria" w:cs="Times New Roman"/>
          <w:color w:val="000000"/>
          <w:sz w:val="24"/>
          <w:szCs w:val="24"/>
        </w:rPr>
        <w:t xml:space="preserve"> 2020, the </w:t>
      </w:r>
      <w:r w:rsidR="000F54CB">
        <w:rPr>
          <w:rFonts w:ascii="Cambria" w:eastAsia="Times New Roman" w:hAnsi="Cambria" w:cs="Times New Roman"/>
          <w:color w:val="000000"/>
          <w:sz w:val="24"/>
          <w:szCs w:val="24"/>
        </w:rPr>
        <w:t>Egyptian authorities</w:t>
      </w:r>
      <w:r w:rsidRPr="00DE749A">
        <w:rPr>
          <w:rFonts w:ascii="Cambria" w:eastAsia="Times New Roman" w:hAnsi="Cambria" w:cs="Times New Roman"/>
          <w:color w:val="000000"/>
          <w:sz w:val="24"/>
          <w:szCs w:val="24"/>
        </w:rPr>
        <w:t xml:space="preserve"> carried out the death sentence that was issued by the Military Court against </w:t>
      </w:r>
      <w:r w:rsidR="000F54CB">
        <w:rPr>
          <w:rFonts w:ascii="Cambria" w:eastAsia="Times New Roman" w:hAnsi="Cambria" w:cs="Times New Roman"/>
          <w:color w:val="000000"/>
          <w:sz w:val="24"/>
          <w:szCs w:val="24"/>
        </w:rPr>
        <w:t xml:space="preserve">terrorist </w:t>
      </w:r>
      <w:r w:rsidR="000F54CB" w:rsidRPr="000F54CB">
        <w:rPr>
          <w:rFonts w:ascii="Cambria" w:eastAsia="Times New Roman" w:hAnsi="Cambria" w:cs="Times New Roman"/>
          <w:color w:val="000000"/>
          <w:sz w:val="24"/>
          <w:szCs w:val="24"/>
        </w:rPr>
        <w:t>Abdel Rahim el-Mesmary</w:t>
      </w:r>
      <w:r w:rsidR="000F54CB">
        <w:rPr>
          <w:rFonts w:ascii="Cambria" w:eastAsia="Times New Roman" w:hAnsi="Cambria" w:cs="Times New Roman"/>
          <w:color w:val="000000"/>
          <w:sz w:val="24"/>
          <w:szCs w:val="24"/>
        </w:rPr>
        <w:t xml:space="preserve"> i</w:t>
      </w:r>
      <w:r w:rsidRPr="00DE749A">
        <w:rPr>
          <w:rFonts w:ascii="Cambria" w:eastAsia="Times New Roman" w:hAnsi="Cambria" w:cs="Times New Roman"/>
          <w:color w:val="000000"/>
          <w:sz w:val="24"/>
          <w:szCs w:val="24"/>
        </w:rPr>
        <w:t>n the case publicly known as "</w:t>
      </w:r>
      <w:r w:rsidR="000F54CB">
        <w:rPr>
          <w:rFonts w:ascii="Cambria" w:eastAsia="Times New Roman" w:hAnsi="Cambria" w:cs="Times New Roman"/>
          <w:color w:val="000000"/>
          <w:sz w:val="24"/>
          <w:szCs w:val="24"/>
        </w:rPr>
        <w:t>Al-Wahat checkpoint</w:t>
      </w:r>
      <w:r w:rsidRPr="00DE749A">
        <w:rPr>
          <w:rFonts w:ascii="Cambria" w:eastAsia="Times New Roman" w:hAnsi="Cambria" w:cs="Times New Roman"/>
          <w:color w:val="000000"/>
          <w:sz w:val="24"/>
          <w:szCs w:val="24"/>
        </w:rPr>
        <w:t>". </w:t>
      </w:r>
    </w:p>
    <w:p w:rsidR="00DE749A" w:rsidRPr="00DE749A" w:rsidRDefault="00DE749A" w:rsidP="00DE749A">
      <w:pPr>
        <w:bidi w:val="0"/>
        <w:spacing w:line="240" w:lineRule="auto"/>
        <w:rPr>
          <w:rFonts w:ascii="Times New Roman" w:eastAsia="Times New Roman" w:hAnsi="Times New Roman" w:cs="Times New Roman"/>
          <w:sz w:val="24"/>
          <w:szCs w:val="24"/>
        </w:rPr>
      </w:pPr>
    </w:p>
    <w:p w:rsidR="00DE749A" w:rsidRPr="00DE749A" w:rsidRDefault="00DE749A" w:rsidP="00DE749A">
      <w:pPr>
        <w:bidi w:val="0"/>
        <w:spacing w:after="200" w:line="240" w:lineRule="auto"/>
        <w:jc w:val="both"/>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Third: Violence and Terrorism </w:t>
      </w:r>
    </w:p>
    <w:p w:rsidR="00DE749A" w:rsidRPr="00DE749A" w:rsidRDefault="00DE749A" w:rsidP="000F54CB">
      <w:pPr>
        <w:bidi w:val="0"/>
        <w:spacing w:after="200" w:line="240" w:lineRule="auto"/>
        <w:jc w:val="both"/>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The </w:t>
      </w:r>
      <w:r w:rsidR="000F54CB">
        <w:rPr>
          <w:rFonts w:ascii="Cambria" w:eastAsia="Times New Roman" w:hAnsi="Cambria" w:cs="Times New Roman"/>
          <w:color w:val="000000"/>
          <w:sz w:val="24"/>
          <w:szCs w:val="24"/>
        </w:rPr>
        <w:t>second</w:t>
      </w:r>
      <w:r w:rsidRPr="00DE749A">
        <w:rPr>
          <w:rFonts w:ascii="Cambria" w:eastAsia="Times New Roman" w:hAnsi="Cambria" w:cs="Times New Roman"/>
          <w:color w:val="000000"/>
          <w:sz w:val="24"/>
          <w:szCs w:val="24"/>
        </w:rPr>
        <w:t xml:space="preserve"> quarter of 2020 witnessed a total of </w:t>
      </w:r>
      <w:r w:rsidR="000F54CB">
        <w:rPr>
          <w:rFonts w:ascii="Cambria" w:eastAsia="Times New Roman" w:hAnsi="Cambria" w:cs="Times New Roman"/>
          <w:color w:val="000000"/>
          <w:sz w:val="24"/>
          <w:szCs w:val="24"/>
        </w:rPr>
        <w:t>8</w:t>
      </w:r>
      <w:r w:rsidRPr="00DE749A">
        <w:rPr>
          <w:rFonts w:ascii="Cambria" w:eastAsia="Times New Roman" w:hAnsi="Cambria" w:cs="Times New Roman"/>
          <w:color w:val="000000"/>
          <w:sz w:val="24"/>
          <w:szCs w:val="24"/>
        </w:rPr>
        <w:t xml:space="preserve"> terrorist operations in Egypt’s different governorates, along with 4 counter-terrorism operations, detailed as follows:</w:t>
      </w:r>
    </w:p>
    <w:p w:rsidR="00DE749A" w:rsidRPr="00DE749A" w:rsidRDefault="00DE749A" w:rsidP="00DE749A">
      <w:pPr>
        <w:numPr>
          <w:ilvl w:val="0"/>
          <w:numId w:val="14"/>
        </w:numPr>
        <w:bidi w:val="0"/>
        <w:spacing w:after="200" w:line="240" w:lineRule="auto"/>
        <w:jc w:val="both"/>
        <w:textAlignment w:val="baseline"/>
        <w:rPr>
          <w:rFonts w:ascii="Cambria" w:eastAsia="Times New Roman" w:hAnsi="Cambria" w:cs="Times New Roman"/>
          <w:b/>
          <w:bCs/>
          <w:color w:val="000000"/>
          <w:sz w:val="24"/>
          <w:szCs w:val="24"/>
        </w:rPr>
      </w:pPr>
      <w:r w:rsidRPr="00DE749A">
        <w:rPr>
          <w:rFonts w:ascii="Cambria" w:eastAsia="Times New Roman" w:hAnsi="Cambria" w:cs="Times New Roman"/>
          <w:b/>
          <w:bCs/>
          <w:color w:val="000000"/>
          <w:sz w:val="24"/>
          <w:szCs w:val="24"/>
        </w:rPr>
        <w:t>Terrorist operations:</w:t>
      </w:r>
    </w:p>
    <w:p w:rsidR="00DE749A" w:rsidRPr="00DE749A" w:rsidRDefault="00B42509" w:rsidP="00742D9B">
      <w:pPr>
        <w:bidi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1051560</wp:posOffset>
            </wp:positionH>
            <wp:positionV relativeFrom="paragraph">
              <wp:posOffset>673735</wp:posOffset>
            </wp:positionV>
            <wp:extent cx="3912235" cy="24511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أحدث-العنف-والإرهاب.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2235" cy="2451100"/>
                    </a:xfrm>
                    <a:prstGeom prst="rect">
                      <a:avLst/>
                    </a:prstGeom>
                  </pic:spPr>
                </pic:pic>
              </a:graphicData>
            </a:graphic>
            <wp14:sizeRelH relativeFrom="margin">
              <wp14:pctWidth>0</wp14:pctWidth>
            </wp14:sizeRelH>
            <wp14:sizeRelV relativeFrom="margin">
              <wp14:pctHeight>0</wp14:pctHeight>
            </wp14:sizeRelV>
          </wp:anchor>
        </w:drawing>
      </w:r>
      <w:r w:rsidR="000F54CB">
        <w:rPr>
          <w:rFonts w:ascii="Cambria" w:eastAsia="Times New Roman" w:hAnsi="Cambria" w:cs="Times New Roman"/>
          <w:color w:val="000000"/>
          <w:sz w:val="24"/>
          <w:szCs w:val="24"/>
        </w:rPr>
        <w:t>Eight</w:t>
      </w:r>
      <w:r w:rsidR="00DE749A" w:rsidRPr="00DE749A">
        <w:rPr>
          <w:rFonts w:ascii="Cambria" w:eastAsia="Times New Roman" w:hAnsi="Cambria" w:cs="Times New Roman"/>
          <w:color w:val="000000"/>
          <w:sz w:val="24"/>
          <w:szCs w:val="24"/>
        </w:rPr>
        <w:t xml:space="preserve"> terrorist attacks took place in the </w:t>
      </w:r>
      <w:r w:rsidR="000F54CB">
        <w:rPr>
          <w:rFonts w:ascii="Cambria" w:eastAsia="Times New Roman" w:hAnsi="Cambria" w:cs="Times New Roman"/>
          <w:color w:val="000000"/>
          <w:sz w:val="24"/>
          <w:szCs w:val="24"/>
        </w:rPr>
        <w:t>second</w:t>
      </w:r>
      <w:r w:rsidR="00DE749A" w:rsidRPr="00DE749A">
        <w:rPr>
          <w:rFonts w:ascii="Cambria" w:eastAsia="Times New Roman" w:hAnsi="Cambria" w:cs="Times New Roman"/>
          <w:color w:val="000000"/>
          <w:sz w:val="24"/>
          <w:szCs w:val="24"/>
        </w:rPr>
        <w:t xml:space="preserve"> quarter of the year; three of them had been carried out, while the security forces succeeded in thwarting the </w:t>
      </w:r>
      <w:r w:rsidR="00742D9B">
        <w:rPr>
          <w:rFonts w:ascii="Cambria" w:eastAsia="Times New Roman" w:hAnsi="Cambria" w:cs="Times New Roman"/>
          <w:color w:val="000000"/>
          <w:sz w:val="24"/>
          <w:szCs w:val="24"/>
        </w:rPr>
        <w:t>five</w:t>
      </w:r>
      <w:r w:rsidR="00DE749A" w:rsidRPr="00DE749A">
        <w:rPr>
          <w:rFonts w:ascii="Cambria" w:eastAsia="Times New Roman" w:hAnsi="Cambria" w:cs="Times New Roman"/>
          <w:color w:val="000000"/>
          <w:sz w:val="24"/>
          <w:szCs w:val="24"/>
        </w:rPr>
        <w:t xml:space="preserve"> others. The operations resulted in the killing </w:t>
      </w:r>
      <w:r w:rsidR="00742D9B">
        <w:rPr>
          <w:rFonts w:ascii="Cambria" w:eastAsia="Times New Roman" w:hAnsi="Cambria" w:cs="Times New Roman"/>
          <w:color w:val="000000"/>
          <w:sz w:val="24"/>
          <w:szCs w:val="24"/>
        </w:rPr>
        <w:t xml:space="preserve">and injury </w:t>
      </w:r>
      <w:r w:rsidR="00DE749A" w:rsidRPr="00DE749A">
        <w:rPr>
          <w:rFonts w:ascii="Cambria" w:eastAsia="Times New Roman" w:hAnsi="Cambria" w:cs="Times New Roman"/>
          <w:color w:val="000000"/>
          <w:sz w:val="24"/>
          <w:szCs w:val="24"/>
        </w:rPr>
        <w:t xml:space="preserve">of </w:t>
      </w:r>
      <w:r w:rsidR="00742D9B">
        <w:rPr>
          <w:rFonts w:ascii="Cambria" w:eastAsia="Times New Roman" w:hAnsi="Cambria" w:cs="Times New Roman"/>
          <w:color w:val="000000"/>
          <w:sz w:val="24"/>
          <w:szCs w:val="24"/>
        </w:rPr>
        <w:t>34 people</w:t>
      </w:r>
      <w:r w:rsidR="00DE749A" w:rsidRPr="00DE749A">
        <w:rPr>
          <w:rFonts w:ascii="Cambria" w:eastAsia="Times New Roman" w:hAnsi="Cambria" w:cs="Times New Roman"/>
          <w:color w:val="000000"/>
          <w:sz w:val="24"/>
          <w:szCs w:val="24"/>
        </w:rPr>
        <w:t>.</w:t>
      </w:r>
    </w:p>
    <w:p w:rsidR="00DE749A" w:rsidRPr="00DE749A" w:rsidRDefault="00DE749A" w:rsidP="00DE749A">
      <w:pPr>
        <w:bidi w:val="0"/>
        <w:spacing w:line="240" w:lineRule="auto"/>
        <w:rPr>
          <w:rFonts w:ascii="Times New Roman" w:eastAsia="Times New Roman" w:hAnsi="Times New Roman" w:cs="Times New Roman"/>
          <w:sz w:val="24"/>
          <w:szCs w:val="24"/>
        </w:rPr>
      </w:pPr>
    </w:p>
    <w:p w:rsidR="00DE749A" w:rsidRPr="00DE749A" w:rsidRDefault="00DE749A" w:rsidP="00DE749A">
      <w:pPr>
        <w:bidi w:val="0"/>
        <w:spacing w:after="240"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The following table shows the percentage of terrorist operations and counter-terrorism ones:</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724"/>
        <w:gridCol w:w="2380"/>
        <w:gridCol w:w="2512"/>
        <w:gridCol w:w="964"/>
      </w:tblGrid>
      <w:tr w:rsidR="00DE749A" w:rsidRPr="00DE749A" w:rsidTr="00DE749A">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Operations thwarted </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Operations carried out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Months</w:t>
            </w:r>
          </w:p>
        </w:tc>
      </w:tr>
      <w:tr w:rsidR="00DE749A" w:rsidRPr="00DE749A" w:rsidTr="00DE749A">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after="240"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April</w:t>
            </w:r>
          </w:p>
        </w:tc>
      </w:tr>
      <w:tr w:rsidR="00DE749A" w:rsidRPr="00DE749A" w:rsidTr="00DE749A">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May</w:t>
            </w:r>
          </w:p>
        </w:tc>
      </w:tr>
      <w:tr w:rsidR="00DE749A" w:rsidRPr="00DE749A" w:rsidTr="00DE749A">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June</w:t>
            </w:r>
          </w:p>
        </w:tc>
      </w:tr>
      <w:tr w:rsidR="00DE749A" w:rsidRPr="00DE749A" w:rsidTr="00DE749A">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  </w:t>
            </w:r>
          </w:p>
        </w:tc>
      </w:tr>
    </w:tbl>
    <w:p w:rsidR="00DE749A" w:rsidRPr="00DE749A" w:rsidRDefault="00DE749A" w:rsidP="00DE749A">
      <w:pPr>
        <w:bidi w:val="0"/>
        <w:spacing w:line="240" w:lineRule="auto"/>
        <w:rPr>
          <w:rFonts w:ascii="Times New Roman" w:eastAsia="Times New Roman" w:hAnsi="Times New Roman" w:cs="Times New Roman"/>
          <w:sz w:val="24"/>
          <w:szCs w:val="24"/>
        </w:rPr>
      </w:pPr>
    </w:p>
    <w:p w:rsidR="00DE749A" w:rsidRPr="00DE749A" w:rsidRDefault="00DE749A" w:rsidP="00DE749A">
      <w:pPr>
        <w:bidi w:val="0"/>
        <w:spacing w:after="240"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b/>
          <w:bCs/>
          <w:color w:val="00000A"/>
          <w:sz w:val="24"/>
          <w:szCs w:val="24"/>
          <w:u w:val="single"/>
        </w:rPr>
        <w:t>The following table shows the number of terrorist operations and their distribution in the different governorates: </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724"/>
        <w:gridCol w:w="2380"/>
        <w:gridCol w:w="2512"/>
        <w:gridCol w:w="1581"/>
      </w:tblGrid>
      <w:tr w:rsidR="00DE749A" w:rsidRPr="00DE749A" w:rsidTr="00DE749A">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lastRenderedPageBreak/>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Operations thwarted </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Operations carried out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Governorates</w:t>
            </w:r>
          </w:p>
        </w:tc>
      </w:tr>
      <w:tr w:rsidR="00DE749A" w:rsidRPr="00DE749A" w:rsidTr="00DE749A">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after="240"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North Sinai</w:t>
            </w:r>
          </w:p>
        </w:tc>
      </w:tr>
      <w:tr w:rsidR="00DE749A" w:rsidRPr="00DE749A" w:rsidTr="00DE749A">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w:t>
            </w:r>
          </w:p>
        </w:tc>
      </w:tr>
    </w:tbl>
    <w:p w:rsidR="00DE749A" w:rsidRPr="00DE749A" w:rsidRDefault="00DE749A" w:rsidP="00DE749A">
      <w:pPr>
        <w:bidi w:val="0"/>
        <w:spacing w:line="240" w:lineRule="auto"/>
        <w:rPr>
          <w:rFonts w:ascii="Times New Roman" w:eastAsia="Times New Roman" w:hAnsi="Times New Roman" w:cs="Times New Roman"/>
          <w:sz w:val="24"/>
          <w:szCs w:val="24"/>
        </w:rPr>
      </w:pPr>
    </w:p>
    <w:p w:rsidR="00DE749A" w:rsidRPr="00DE749A" w:rsidRDefault="00DE749A" w:rsidP="00742D9B">
      <w:pPr>
        <w:bidi w:val="0"/>
        <w:spacing w:after="240" w:line="240" w:lineRule="auto"/>
        <w:jc w:val="both"/>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 These operations had resulted in </w:t>
      </w:r>
      <w:r w:rsidR="00742D9B">
        <w:rPr>
          <w:rFonts w:ascii="Cambria" w:eastAsia="Times New Roman" w:hAnsi="Cambria" w:cs="Times New Roman"/>
          <w:color w:val="000000"/>
          <w:sz w:val="24"/>
          <w:szCs w:val="24"/>
        </w:rPr>
        <w:t>34</w:t>
      </w:r>
      <w:r w:rsidRPr="00DE749A">
        <w:rPr>
          <w:rFonts w:ascii="Cambria" w:eastAsia="Times New Roman" w:hAnsi="Cambria" w:cs="Times New Roman"/>
          <w:color w:val="000000"/>
          <w:sz w:val="24"/>
          <w:szCs w:val="24"/>
        </w:rPr>
        <w:t xml:space="preserve"> killed </w:t>
      </w:r>
      <w:r w:rsidR="00742D9B">
        <w:rPr>
          <w:rFonts w:ascii="Cambria" w:eastAsia="Times New Roman" w:hAnsi="Cambria" w:cs="Times New Roman"/>
          <w:color w:val="000000"/>
          <w:sz w:val="24"/>
          <w:szCs w:val="24"/>
        </w:rPr>
        <w:t>and wounded.</w:t>
      </w:r>
    </w:p>
    <w:p w:rsidR="00DE749A" w:rsidRPr="00DE749A" w:rsidRDefault="00DE749A" w:rsidP="00DE749A">
      <w:pPr>
        <w:bidi w:val="0"/>
        <w:spacing w:after="240"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The following table shows the number of killed and wounded and their distribution:</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782"/>
        <w:gridCol w:w="1287"/>
        <w:gridCol w:w="1769"/>
        <w:gridCol w:w="1124"/>
        <w:gridCol w:w="2360"/>
      </w:tblGrid>
      <w:tr w:rsidR="00DE749A" w:rsidRPr="00DE749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 </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Terrorists </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Security forces </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after="240"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Civilians </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240" w:lineRule="auto"/>
              <w:rPr>
                <w:rFonts w:ascii="Times New Roman" w:eastAsia="Times New Roman" w:hAnsi="Times New Roman" w:cs="Times New Roman"/>
                <w:sz w:val="1"/>
                <w:szCs w:val="24"/>
              </w:rPr>
            </w:pPr>
          </w:p>
        </w:tc>
      </w:tr>
      <w:tr w:rsidR="00DE749A" w:rsidRPr="00DE749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742D9B" w:rsidP="00DE749A">
            <w:pPr>
              <w:bidi w:val="0"/>
              <w:spacing w:after="240"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17</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17</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Number of killed </w:t>
            </w:r>
          </w:p>
        </w:tc>
      </w:tr>
      <w:tr w:rsidR="00DE749A" w:rsidRPr="00DE749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17</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17</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Number of wounded </w:t>
            </w:r>
          </w:p>
        </w:tc>
      </w:tr>
      <w:tr w:rsidR="00DE749A" w:rsidRPr="00DE749A" w:rsidTr="00DE749A">
        <w:trPr>
          <w:trHeight w:val="60"/>
          <w:jc w:val="right"/>
        </w:trPr>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742D9B" w:rsidP="00DE749A">
            <w:pPr>
              <w:bidi w:val="0"/>
              <w:spacing w:line="6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34</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6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742D9B" w:rsidP="00DE749A">
            <w:pPr>
              <w:bidi w:val="0"/>
              <w:spacing w:line="6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34</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6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DE749A" w:rsidRPr="00DE749A" w:rsidRDefault="00DE749A" w:rsidP="00DE749A">
            <w:pPr>
              <w:bidi w:val="0"/>
              <w:spacing w:line="6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 </w:t>
            </w:r>
          </w:p>
        </w:tc>
      </w:tr>
    </w:tbl>
    <w:p w:rsidR="00DE749A" w:rsidRPr="00DE749A" w:rsidRDefault="00DE749A" w:rsidP="00DE749A">
      <w:pPr>
        <w:bidi w:val="0"/>
        <w:spacing w:line="240" w:lineRule="auto"/>
        <w:rPr>
          <w:rFonts w:ascii="Times New Roman" w:eastAsia="Times New Roman" w:hAnsi="Times New Roman" w:cs="Times New Roman"/>
          <w:sz w:val="24"/>
          <w:szCs w:val="24"/>
        </w:rPr>
      </w:pPr>
    </w:p>
    <w:p w:rsidR="00DE749A" w:rsidRPr="00DE749A" w:rsidRDefault="00DE749A" w:rsidP="00DE749A">
      <w:pPr>
        <w:numPr>
          <w:ilvl w:val="0"/>
          <w:numId w:val="15"/>
        </w:numPr>
        <w:bidi w:val="0"/>
        <w:spacing w:after="240" w:line="240" w:lineRule="auto"/>
        <w:jc w:val="both"/>
        <w:textAlignment w:val="baseline"/>
        <w:rPr>
          <w:rFonts w:ascii="Cambria" w:eastAsia="Times New Roman" w:hAnsi="Cambria" w:cs="Times New Roman"/>
          <w:b/>
          <w:bCs/>
          <w:color w:val="000000"/>
          <w:sz w:val="24"/>
          <w:szCs w:val="24"/>
        </w:rPr>
      </w:pPr>
      <w:r w:rsidRPr="00DE749A">
        <w:rPr>
          <w:rFonts w:ascii="Cambria" w:eastAsia="Times New Roman" w:hAnsi="Cambria" w:cs="Times New Roman"/>
          <w:b/>
          <w:bCs/>
          <w:color w:val="000000"/>
          <w:sz w:val="24"/>
          <w:szCs w:val="24"/>
        </w:rPr>
        <w:t>Counter-Terrorism Operations </w:t>
      </w:r>
    </w:p>
    <w:p w:rsidR="00DE749A" w:rsidRPr="00DE749A" w:rsidRDefault="00DE749A" w:rsidP="00742D9B">
      <w:pPr>
        <w:bidi w:val="0"/>
        <w:spacing w:after="240" w:line="240" w:lineRule="auto"/>
        <w:jc w:val="both"/>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 xml:space="preserve">During the </w:t>
      </w:r>
      <w:r w:rsidR="00742D9B">
        <w:rPr>
          <w:rFonts w:ascii="Cambria" w:eastAsia="Times New Roman" w:hAnsi="Cambria" w:cs="Times New Roman"/>
          <w:color w:val="000000"/>
          <w:sz w:val="24"/>
          <w:szCs w:val="24"/>
        </w:rPr>
        <w:t>second</w:t>
      </w:r>
      <w:r w:rsidRPr="00DE749A">
        <w:rPr>
          <w:rFonts w:ascii="Cambria" w:eastAsia="Times New Roman" w:hAnsi="Cambria" w:cs="Times New Roman"/>
          <w:color w:val="000000"/>
          <w:sz w:val="24"/>
          <w:szCs w:val="24"/>
        </w:rPr>
        <w:t xml:space="preserve"> quarter of the year, there were </w:t>
      </w:r>
      <w:r w:rsidR="00742D9B">
        <w:rPr>
          <w:rFonts w:ascii="Cambria" w:eastAsia="Times New Roman" w:hAnsi="Cambria" w:cs="Times New Roman"/>
          <w:color w:val="000000"/>
          <w:sz w:val="24"/>
          <w:szCs w:val="24"/>
        </w:rPr>
        <w:t>25</w:t>
      </w:r>
      <w:r w:rsidRPr="00DE749A">
        <w:rPr>
          <w:rFonts w:ascii="Cambria" w:eastAsia="Times New Roman" w:hAnsi="Cambria" w:cs="Times New Roman"/>
          <w:color w:val="000000"/>
          <w:sz w:val="24"/>
          <w:szCs w:val="24"/>
        </w:rPr>
        <w:t xml:space="preserve"> preemptive attacks by the security forces which targeted what they described as terrorism hubs, resulting in the killing of </w:t>
      </w:r>
      <w:r w:rsidR="00742D9B">
        <w:rPr>
          <w:rFonts w:ascii="Cambria" w:eastAsia="Times New Roman" w:hAnsi="Cambria" w:cs="Times New Roman"/>
          <w:color w:val="000000"/>
          <w:sz w:val="24"/>
          <w:szCs w:val="24"/>
        </w:rPr>
        <w:t>201</w:t>
      </w:r>
      <w:r w:rsidRPr="00DE749A">
        <w:rPr>
          <w:rFonts w:ascii="Cambria" w:eastAsia="Times New Roman" w:hAnsi="Cambria" w:cs="Times New Roman"/>
          <w:color w:val="000000"/>
          <w:sz w:val="24"/>
          <w:szCs w:val="24"/>
        </w:rPr>
        <w:t xml:space="preserve">, the wounding of 16 and the arrest of </w:t>
      </w:r>
      <w:r w:rsidR="00742D9B">
        <w:rPr>
          <w:rFonts w:ascii="Cambria" w:eastAsia="Times New Roman" w:hAnsi="Cambria" w:cs="Times New Roman"/>
          <w:color w:val="000000"/>
          <w:sz w:val="24"/>
          <w:szCs w:val="24"/>
        </w:rPr>
        <w:t>266</w:t>
      </w:r>
      <w:r w:rsidRPr="00DE749A">
        <w:rPr>
          <w:rFonts w:ascii="Cambria" w:eastAsia="Times New Roman" w:hAnsi="Cambria" w:cs="Times New Roman"/>
          <w:color w:val="000000"/>
          <w:sz w:val="24"/>
          <w:szCs w:val="24"/>
        </w:rPr>
        <w:t xml:space="preserve"> others.</w:t>
      </w:r>
    </w:p>
    <w:p w:rsidR="00DE749A" w:rsidRPr="00DE749A" w:rsidRDefault="00DE749A" w:rsidP="00DE749A">
      <w:pPr>
        <w:bidi w:val="0"/>
        <w:spacing w:after="240"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The following table shows the number of dead and injured</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800"/>
        <w:gridCol w:w="1806"/>
        <w:gridCol w:w="1787"/>
        <w:gridCol w:w="2378"/>
      </w:tblGrid>
      <w:tr w:rsidR="00DE749A" w:rsidRPr="00DE749A" w:rsidTr="00DE749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DE749A" w:rsidP="00DE749A">
            <w:pPr>
              <w:bidi w:val="0"/>
              <w:spacing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 </w:t>
            </w:r>
          </w:p>
          <w:p w:rsidR="00DE749A" w:rsidRPr="00DE749A" w:rsidRDefault="00DE749A" w:rsidP="00DE749A">
            <w:pPr>
              <w:bidi w:val="0"/>
              <w:spacing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A"/>
                <w:sz w:val="24"/>
                <w:szCs w:val="24"/>
              </w:rPr>
              <w:t>Those targeted </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A"/>
                <w:sz w:val="24"/>
                <w:szCs w:val="24"/>
              </w:rPr>
              <w:t>Security forces </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DE749A" w:rsidP="00DE749A">
            <w:pPr>
              <w:bidi w:val="0"/>
              <w:spacing w:line="240" w:lineRule="auto"/>
              <w:rPr>
                <w:rFonts w:ascii="Times New Roman" w:eastAsia="Times New Roman" w:hAnsi="Times New Roman" w:cs="Times New Roman"/>
                <w:sz w:val="1"/>
                <w:szCs w:val="24"/>
              </w:rPr>
            </w:pPr>
          </w:p>
        </w:tc>
      </w:tr>
      <w:tr w:rsidR="00DE749A" w:rsidRPr="00DE749A" w:rsidTr="00DE749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A"/>
                <w:sz w:val="24"/>
                <w:szCs w:val="24"/>
              </w:rPr>
              <w:t>201</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A"/>
                <w:sz w:val="24"/>
                <w:szCs w:val="24"/>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A"/>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A"/>
                <w:sz w:val="24"/>
                <w:szCs w:val="24"/>
              </w:rPr>
              <w:t>Number of killed </w:t>
            </w:r>
          </w:p>
        </w:tc>
      </w:tr>
      <w:tr w:rsidR="00DE749A" w:rsidRPr="00DE749A" w:rsidTr="00DE749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A"/>
                <w:sz w:val="24"/>
                <w:szCs w:val="24"/>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A"/>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A"/>
                <w:sz w:val="24"/>
                <w:szCs w:val="24"/>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A"/>
                <w:sz w:val="24"/>
                <w:szCs w:val="24"/>
              </w:rPr>
              <w:t>Number of wounded </w:t>
            </w:r>
          </w:p>
        </w:tc>
      </w:tr>
      <w:tr w:rsidR="00DE749A" w:rsidRPr="00DE749A" w:rsidTr="00DE749A">
        <w:trPr>
          <w:trHeight w:val="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742D9B" w:rsidP="00DE749A">
            <w:pPr>
              <w:bidi w:val="0"/>
              <w:spacing w:line="60" w:lineRule="atLeast"/>
              <w:jc w:val="center"/>
              <w:rPr>
                <w:rFonts w:ascii="Times New Roman" w:eastAsia="Times New Roman" w:hAnsi="Times New Roman" w:cs="Times New Roman"/>
                <w:sz w:val="24"/>
                <w:szCs w:val="24"/>
              </w:rPr>
            </w:pPr>
            <w:r>
              <w:rPr>
                <w:rFonts w:ascii="Cambria" w:eastAsia="Times New Roman" w:hAnsi="Cambria" w:cs="Times New Roman"/>
                <w:color w:val="00000A"/>
                <w:sz w:val="24"/>
                <w:szCs w:val="24"/>
              </w:rPr>
              <w:t>217</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742D9B" w:rsidP="00DE749A">
            <w:pPr>
              <w:bidi w:val="0"/>
              <w:spacing w:line="60" w:lineRule="atLeast"/>
              <w:jc w:val="center"/>
              <w:rPr>
                <w:rFonts w:ascii="Times New Roman" w:eastAsia="Times New Roman" w:hAnsi="Times New Roman" w:cs="Times New Roman"/>
                <w:sz w:val="24"/>
                <w:szCs w:val="24"/>
              </w:rPr>
            </w:pPr>
            <w:r>
              <w:rPr>
                <w:rFonts w:ascii="Cambria" w:eastAsia="Times New Roman" w:hAnsi="Cambria" w:cs="Times New Roman"/>
                <w:color w:val="00000A"/>
                <w:sz w:val="24"/>
                <w:szCs w:val="24"/>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742D9B" w:rsidP="00DE749A">
            <w:pPr>
              <w:bidi w:val="0"/>
              <w:spacing w:line="60" w:lineRule="atLeast"/>
              <w:jc w:val="center"/>
              <w:rPr>
                <w:rFonts w:ascii="Times New Roman" w:eastAsia="Times New Roman" w:hAnsi="Times New Roman" w:cs="Times New Roman"/>
                <w:sz w:val="24"/>
                <w:szCs w:val="24"/>
              </w:rPr>
            </w:pPr>
            <w:r>
              <w:rPr>
                <w:rFonts w:ascii="Cambria" w:eastAsia="Times New Roman" w:hAnsi="Cambria" w:cs="Times New Roman"/>
                <w:color w:val="00000A"/>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hideMark/>
          </w:tcPr>
          <w:p w:rsidR="00DE749A" w:rsidRPr="00DE749A" w:rsidRDefault="00DE749A" w:rsidP="00DE749A">
            <w:pPr>
              <w:bidi w:val="0"/>
              <w:spacing w:line="6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A"/>
                <w:sz w:val="24"/>
                <w:szCs w:val="24"/>
              </w:rPr>
              <w:t>Total</w:t>
            </w:r>
          </w:p>
        </w:tc>
      </w:tr>
    </w:tbl>
    <w:p w:rsidR="00DE749A" w:rsidRPr="00DE749A" w:rsidRDefault="00DE749A" w:rsidP="00DE749A">
      <w:pPr>
        <w:bidi w:val="0"/>
        <w:spacing w:line="240" w:lineRule="auto"/>
        <w:rPr>
          <w:rFonts w:ascii="Times New Roman" w:eastAsia="Times New Roman" w:hAnsi="Times New Roman" w:cs="Times New Roman"/>
          <w:sz w:val="24"/>
          <w:szCs w:val="24"/>
        </w:rPr>
      </w:pPr>
    </w:p>
    <w:p w:rsidR="00742D9B" w:rsidRDefault="00742D9B" w:rsidP="00DE749A">
      <w:pPr>
        <w:bidi w:val="0"/>
        <w:spacing w:after="120" w:line="240" w:lineRule="auto"/>
        <w:rPr>
          <w:rFonts w:ascii="Cambria" w:eastAsia="Times New Roman" w:hAnsi="Cambria" w:cs="Times New Roman"/>
          <w:b/>
          <w:bCs/>
          <w:color w:val="00000A"/>
          <w:sz w:val="24"/>
          <w:szCs w:val="24"/>
          <w:u w:val="single"/>
        </w:rPr>
      </w:pPr>
    </w:p>
    <w:p w:rsidR="00B42509" w:rsidRDefault="00B42509" w:rsidP="00742D9B">
      <w:pPr>
        <w:bidi w:val="0"/>
        <w:spacing w:after="120" w:line="240" w:lineRule="auto"/>
        <w:rPr>
          <w:rFonts w:ascii="Cambria" w:eastAsia="Times New Roman" w:hAnsi="Cambria" w:cs="Times New Roman"/>
          <w:b/>
          <w:bCs/>
          <w:color w:val="00000A"/>
          <w:sz w:val="24"/>
          <w:szCs w:val="24"/>
          <w:u w:val="single"/>
        </w:rPr>
      </w:pPr>
    </w:p>
    <w:p w:rsidR="00B42509" w:rsidRDefault="00B42509" w:rsidP="00B42509">
      <w:pPr>
        <w:bidi w:val="0"/>
        <w:spacing w:after="120" w:line="240" w:lineRule="auto"/>
        <w:rPr>
          <w:rFonts w:ascii="Cambria" w:eastAsia="Times New Roman" w:hAnsi="Cambria" w:cs="Times New Roman"/>
          <w:b/>
          <w:bCs/>
          <w:color w:val="00000A"/>
          <w:sz w:val="24"/>
          <w:szCs w:val="24"/>
          <w:u w:val="single"/>
        </w:rPr>
      </w:pPr>
    </w:p>
    <w:p w:rsidR="00B42509" w:rsidRDefault="00B42509" w:rsidP="00B42509">
      <w:pPr>
        <w:bidi w:val="0"/>
        <w:spacing w:after="120" w:line="240" w:lineRule="auto"/>
        <w:rPr>
          <w:rFonts w:ascii="Cambria" w:eastAsia="Times New Roman" w:hAnsi="Cambria" w:cs="Times New Roman"/>
          <w:b/>
          <w:bCs/>
          <w:color w:val="00000A"/>
          <w:sz w:val="24"/>
          <w:szCs w:val="24"/>
          <w:u w:val="single"/>
        </w:rPr>
      </w:pPr>
    </w:p>
    <w:p w:rsidR="00B42509" w:rsidRDefault="00B42509" w:rsidP="00B42509">
      <w:pPr>
        <w:bidi w:val="0"/>
        <w:spacing w:after="120" w:line="240" w:lineRule="auto"/>
        <w:rPr>
          <w:rFonts w:ascii="Cambria" w:eastAsia="Times New Roman" w:hAnsi="Cambria" w:cs="Times New Roman"/>
          <w:b/>
          <w:bCs/>
          <w:color w:val="00000A"/>
          <w:sz w:val="24"/>
          <w:szCs w:val="24"/>
          <w:u w:val="single"/>
        </w:rPr>
      </w:pPr>
    </w:p>
    <w:p w:rsidR="00B42509" w:rsidRDefault="00B42509" w:rsidP="00B42509">
      <w:pPr>
        <w:bidi w:val="0"/>
        <w:spacing w:after="120" w:line="240" w:lineRule="auto"/>
        <w:rPr>
          <w:rFonts w:ascii="Cambria" w:eastAsia="Times New Roman" w:hAnsi="Cambria" w:cs="Times New Roman"/>
          <w:b/>
          <w:bCs/>
          <w:color w:val="00000A"/>
          <w:sz w:val="24"/>
          <w:szCs w:val="24"/>
          <w:u w:val="single"/>
        </w:rPr>
      </w:pPr>
    </w:p>
    <w:p w:rsidR="00B42509" w:rsidRDefault="00B42509" w:rsidP="00B42509">
      <w:pPr>
        <w:bidi w:val="0"/>
        <w:spacing w:after="120" w:line="240" w:lineRule="auto"/>
        <w:rPr>
          <w:rFonts w:ascii="Cambria" w:eastAsia="Times New Roman" w:hAnsi="Cambria" w:cs="Times New Roman"/>
          <w:b/>
          <w:bCs/>
          <w:color w:val="00000A"/>
          <w:sz w:val="24"/>
          <w:szCs w:val="24"/>
          <w:u w:val="single"/>
        </w:rPr>
      </w:pPr>
    </w:p>
    <w:p w:rsidR="00DE749A" w:rsidRPr="00B42509" w:rsidRDefault="00DE749A" w:rsidP="00B42509">
      <w:pPr>
        <w:bidi w:val="0"/>
        <w:spacing w:after="120" w:line="240" w:lineRule="auto"/>
        <w:rPr>
          <w:rFonts w:ascii="Times New Roman" w:eastAsia="Times New Roman" w:hAnsi="Times New Roman" w:cs="Times New Roman"/>
          <w:sz w:val="40"/>
          <w:szCs w:val="40"/>
        </w:rPr>
      </w:pPr>
      <w:r w:rsidRPr="00B42509">
        <w:rPr>
          <w:rFonts w:ascii="Cambria" w:eastAsia="Times New Roman" w:hAnsi="Cambria" w:cs="Times New Roman"/>
          <w:b/>
          <w:bCs/>
          <w:color w:val="00000A"/>
          <w:sz w:val="40"/>
          <w:szCs w:val="40"/>
          <w:u w:val="single"/>
        </w:rPr>
        <w:lastRenderedPageBreak/>
        <w:t>Fourth: Attack on Freedom of Expression and Media Freedoms </w:t>
      </w:r>
    </w:p>
    <w:p w:rsidR="00DE749A" w:rsidRPr="00DE749A" w:rsidRDefault="00DE749A" w:rsidP="00742D9B">
      <w:pPr>
        <w:bidi w:val="0"/>
        <w:spacing w:after="240" w:line="240" w:lineRule="auto"/>
        <w:jc w:val="both"/>
        <w:rPr>
          <w:rFonts w:ascii="Times New Roman" w:eastAsia="Times New Roman" w:hAnsi="Times New Roman" w:cs="Times New Roman"/>
          <w:sz w:val="24"/>
          <w:szCs w:val="24"/>
        </w:rPr>
      </w:pPr>
      <w:r w:rsidRPr="00DE749A">
        <w:rPr>
          <w:rFonts w:ascii="Cambria" w:eastAsia="Times New Roman" w:hAnsi="Cambria" w:cs="Times New Roman"/>
          <w:color w:val="00000A"/>
          <w:sz w:val="24"/>
          <w:szCs w:val="24"/>
        </w:rPr>
        <w:t xml:space="preserve">The </w:t>
      </w:r>
      <w:r w:rsidR="00742D9B">
        <w:rPr>
          <w:rFonts w:ascii="Cambria" w:eastAsia="Times New Roman" w:hAnsi="Cambria" w:cs="Times New Roman"/>
          <w:color w:val="00000A"/>
          <w:sz w:val="24"/>
          <w:szCs w:val="24"/>
        </w:rPr>
        <w:t>second</w:t>
      </w:r>
      <w:r w:rsidRPr="00DE749A">
        <w:rPr>
          <w:rFonts w:ascii="Cambria" w:eastAsia="Times New Roman" w:hAnsi="Cambria" w:cs="Times New Roman"/>
          <w:color w:val="00000A"/>
          <w:sz w:val="24"/>
          <w:szCs w:val="24"/>
        </w:rPr>
        <w:t xml:space="preserve"> quarter of the year witnessed 34 various violations against freedom of expression and media freedoms.</w:t>
      </w:r>
    </w:p>
    <w:p w:rsidR="00DE749A" w:rsidRPr="00DE749A" w:rsidRDefault="00DE749A" w:rsidP="00DE749A">
      <w:pPr>
        <w:bidi w:val="0"/>
        <w:spacing w:after="240"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b/>
          <w:bCs/>
          <w:color w:val="00000A"/>
          <w:sz w:val="24"/>
          <w:szCs w:val="24"/>
          <w:u w:val="single"/>
        </w:rPr>
        <w:t>The following table shows the number of violations took place throughout the first three months of 2020:</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1017"/>
        <w:gridCol w:w="2349"/>
      </w:tblGrid>
      <w:tr w:rsidR="00DE749A" w:rsidRPr="00DE749A" w:rsidTr="00DE749A">
        <w:trPr>
          <w:trHeight w:val="58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Months </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after="360"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Number of violations</w:t>
            </w:r>
          </w:p>
          <w:p w:rsidR="00DE749A" w:rsidRPr="00DE749A" w:rsidRDefault="00DE749A" w:rsidP="00DE749A">
            <w:pPr>
              <w:bidi w:val="0"/>
              <w:spacing w:line="240" w:lineRule="auto"/>
              <w:rPr>
                <w:rFonts w:ascii="Times New Roman" w:eastAsia="Times New Roman" w:hAnsi="Times New Roman" w:cs="Times New Roman"/>
                <w:sz w:val="24"/>
                <w:szCs w:val="24"/>
              </w:rPr>
            </w:pPr>
          </w:p>
        </w:tc>
      </w:tr>
      <w:tr w:rsidR="00DE749A" w:rsidRPr="00DE749A"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April</w:t>
            </w:r>
          </w:p>
        </w:tc>
      </w:tr>
      <w:tr w:rsidR="00DE749A" w:rsidRPr="00DE749A"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May</w:t>
            </w:r>
          </w:p>
        </w:tc>
      </w:tr>
      <w:tr w:rsidR="00DE749A" w:rsidRPr="00DE749A"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June</w:t>
            </w:r>
          </w:p>
        </w:tc>
      </w:tr>
      <w:tr w:rsidR="00DE749A" w:rsidRPr="00DE749A"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742D9B"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Total </w:t>
            </w:r>
          </w:p>
        </w:tc>
      </w:tr>
    </w:tbl>
    <w:p w:rsidR="00DE749A" w:rsidRPr="00DE749A" w:rsidRDefault="00DE749A" w:rsidP="00DE749A">
      <w:pPr>
        <w:bidi w:val="0"/>
        <w:spacing w:line="240" w:lineRule="auto"/>
        <w:rPr>
          <w:rFonts w:ascii="Times New Roman" w:eastAsia="Times New Roman" w:hAnsi="Times New Roman" w:cs="Times New Roman"/>
          <w:sz w:val="24"/>
          <w:szCs w:val="24"/>
        </w:rPr>
      </w:pPr>
    </w:p>
    <w:p w:rsidR="00DE749A" w:rsidRPr="00DE749A" w:rsidRDefault="00DE749A" w:rsidP="00DE749A">
      <w:pPr>
        <w:bidi w:val="0"/>
        <w:spacing w:line="240" w:lineRule="auto"/>
        <w:jc w:val="center"/>
        <w:rPr>
          <w:rFonts w:ascii="Times New Roman" w:eastAsia="Times New Roman" w:hAnsi="Times New Roman" w:cs="Times New Roman"/>
          <w:sz w:val="24"/>
          <w:szCs w:val="24"/>
        </w:rPr>
      </w:pPr>
      <w:r w:rsidRPr="00DE749A">
        <w:rPr>
          <w:rFonts w:ascii="Cambria" w:eastAsia="Times New Roman" w:hAnsi="Cambria" w:cs="Times New Roman"/>
          <w:b/>
          <w:bCs/>
          <w:color w:val="000000"/>
          <w:sz w:val="24"/>
          <w:szCs w:val="24"/>
          <w:u w:val="single"/>
        </w:rPr>
        <w:t>Details are as follows:</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2354"/>
        <w:gridCol w:w="4978"/>
      </w:tblGrid>
      <w:tr w:rsidR="00DE749A" w:rsidRPr="00DE749A" w:rsidTr="00D772B8">
        <w:trPr>
          <w:jc w:val="center"/>
        </w:trPr>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Number of violations</w:t>
            </w:r>
          </w:p>
        </w:tc>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Kind of violation </w:t>
            </w:r>
          </w:p>
        </w:tc>
      </w:tr>
      <w:tr w:rsidR="00DE749A" w:rsidRPr="00DE749A" w:rsidTr="00D772B8">
        <w:trPr>
          <w:jc w:val="center"/>
        </w:trPr>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E749A" w:rsidP="00D772B8">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1</w:t>
            </w:r>
            <w:r w:rsidR="00D772B8">
              <w:rPr>
                <w:rFonts w:ascii="Cambria" w:eastAsia="Times New Roman" w:hAnsi="Cambria" w:cs="Times New Roman"/>
                <w:color w:val="000000"/>
                <w:sz w:val="24"/>
                <w:szCs w:val="24"/>
              </w:rPr>
              <w:t>4</w:t>
            </w:r>
          </w:p>
        </w:tc>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Investigations and detention renewal sessions </w:t>
            </w:r>
          </w:p>
        </w:tc>
      </w:tr>
      <w:tr w:rsidR="00DE749A" w:rsidRPr="00DE749A" w:rsidTr="00D772B8">
        <w:trPr>
          <w:jc w:val="center"/>
        </w:trPr>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772B8"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8</w:t>
            </w:r>
          </w:p>
        </w:tc>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772B8" w:rsidRDefault="00D772B8" w:rsidP="00DE749A">
            <w:pPr>
              <w:bidi w:val="0"/>
              <w:spacing w:line="0" w:lineRule="atLeast"/>
              <w:jc w:val="center"/>
              <w:rPr>
                <w:rFonts w:ascii="Cambria" w:eastAsia="Times New Roman" w:hAnsi="Cambria" w:cs="Times New Roman"/>
                <w:color w:val="000000"/>
                <w:sz w:val="24"/>
                <w:szCs w:val="24"/>
              </w:rPr>
            </w:pPr>
            <w:r w:rsidRPr="00D772B8">
              <w:rPr>
                <w:rFonts w:ascii="Cambria" w:eastAsia="Times New Roman" w:hAnsi="Cambria" w:cs="Times New Roman"/>
                <w:color w:val="000000"/>
                <w:sz w:val="24"/>
                <w:szCs w:val="24"/>
              </w:rPr>
              <w:t xml:space="preserve">Banning websites </w:t>
            </w:r>
          </w:p>
          <w:p w:rsidR="00DE749A" w:rsidRPr="00DE749A" w:rsidRDefault="00DE749A" w:rsidP="00D772B8">
            <w:pPr>
              <w:bidi w:val="0"/>
              <w:spacing w:line="0" w:lineRule="atLeast"/>
              <w:jc w:val="center"/>
              <w:rPr>
                <w:rFonts w:ascii="Times New Roman" w:eastAsia="Times New Roman" w:hAnsi="Times New Roman" w:cs="Times New Roman"/>
                <w:sz w:val="24"/>
                <w:szCs w:val="24"/>
              </w:rPr>
            </w:pPr>
          </w:p>
        </w:tc>
      </w:tr>
      <w:tr w:rsidR="00DE749A" w:rsidRPr="00DE749A" w:rsidTr="00D772B8">
        <w:trPr>
          <w:jc w:val="center"/>
        </w:trPr>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772B8"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7</w:t>
            </w:r>
          </w:p>
        </w:tc>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772B8" w:rsidRDefault="00D772B8" w:rsidP="00DE749A">
            <w:pPr>
              <w:bidi w:val="0"/>
              <w:spacing w:line="0" w:lineRule="atLeast"/>
              <w:jc w:val="center"/>
              <w:rPr>
                <w:rFonts w:ascii="Cambria" w:eastAsia="Times New Roman" w:hAnsi="Cambria" w:cs="Times New Roman"/>
                <w:color w:val="000000"/>
                <w:sz w:val="24"/>
                <w:szCs w:val="24"/>
              </w:rPr>
            </w:pPr>
            <w:r w:rsidRPr="00D772B8">
              <w:rPr>
                <w:rFonts w:ascii="Cambria" w:eastAsia="Times New Roman" w:hAnsi="Cambria" w:cs="Times New Roman"/>
                <w:color w:val="000000"/>
                <w:sz w:val="24"/>
                <w:szCs w:val="24"/>
              </w:rPr>
              <w:t xml:space="preserve">Arrest and/or detention </w:t>
            </w:r>
          </w:p>
          <w:p w:rsidR="00DE749A" w:rsidRPr="00DE749A" w:rsidRDefault="00DE749A" w:rsidP="00D772B8">
            <w:pPr>
              <w:bidi w:val="0"/>
              <w:spacing w:line="0" w:lineRule="atLeast"/>
              <w:jc w:val="center"/>
              <w:rPr>
                <w:rFonts w:ascii="Times New Roman" w:eastAsia="Times New Roman" w:hAnsi="Times New Roman" w:cs="Times New Roman"/>
                <w:sz w:val="24"/>
                <w:szCs w:val="24"/>
              </w:rPr>
            </w:pPr>
          </w:p>
        </w:tc>
      </w:tr>
      <w:tr w:rsidR="00DE749A" w:rsidRPr="00DE749A" w:rsidTr="00D772B8">
        <w:trPr>
          <w:jc w:val="center"/>
        </w:trPr>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772B8" w:rsidP="00DE749A">
            <w:pPr>
              <w:bidi w:val="0"/>
              <w:spacing w:line="0" w:lineRule="atLeast"/>
              <w:jc w:val="center"/>
              <w:rPr>
                <w:rFonts w:ascii="Times New Roman" w:eastAsia="Times New Roman" w:hAnsi="Times New Roman" w:cs="Times New Roman"/>
                <w:sz w:val="24"/>
                <w:szCs w:val="24"/>
              </w:rPr>
            </w:pPr>
            <w:r>
              <w:rPr>
                <w:rFonts w:ascii="Cambria" w:eastAsia="Times New Roman" w:hAnsi="Cambria" w:cs="Times New Roman"/>
                <w:color w:val="000000"/>
                <w:sz w:val="24"/>
                <w:szCs w:val="24"/>
              </w:rPr>
              <w:t>4</w:t>
            </w:r>
          </w:p>
        </w:tc>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772B8" w:rsidRDefault="00D772B8" w:rsidP="00DE749A">
            <w:pPr>
              <w:bidi w:val="0"/>
              <w:spacing w:line="0" w:lineRule="atLeast"/>
              <w:jc w:val="center"/>
              <w:rPr>
                <w:rFonts w:ascii="Cambria" w:eastAsia="Times New Roman" w:hAnsi="Cambria" w:cs="Times New Roman"/>
                <w:color w:val="000000"/>
                <w:sz w:val="24"/>
                <w:szCs w:val="24"/>
              </w:rPr>
            </w:pPr>
            <w:r w:rsidRPr="00D772B8">
              <w:rPr>
                <w:rFonts w:ascii="Cambria" w:eastAsia="Times New Roman" w:hAnsi="Cambria" w:cs="Times New Roman"/>
                <w:color w:val="000000"/>
                <w:sz w:val="24"/>
                <w:szCs w:val="24"/>
              </w:rPr>
              <w:t>Administrative penalties (fines)</w:t>
            </w:r>
          </w:p>
          <w:p w:rsidR="00DE749A" w:rsidRPr="00DE749A" w:rsidRDefault="00DE749A" w:rsidP="00D772B8">
            <w:pPr>
              <w:bidi w:val="0"/>
              <w:spacing w:line="0" w:lineRule="atLeast"/>
              <w:jc w:val="center"/>
              <w:rPr>
                <w:rFonts w:ascii="Times New Roman" w:eastAsia="Times New Roman" w:hAnsi="Times New Roman" w:cs="Times New Roman"/>
                <w:sz w:val="24"/>
                <w:szCs w:val="24"/>
              </w:rPr>
            </w:pPr>
          </w:p>
        </w:tc>
      </w:tr>
      <w:tr w:rsidR="00DE749A" w:rsidRPr="00DE749A" w:rsidTr="00D772B8">
        <w:trPr>
          <w:jc w:val="center"/>
        </w:trPr>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3</w:t>
            </w:r>
          </w:p>
        </w:tc>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772B8"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Ban from media coverage</w:t>
            </w:r>
          </w:p>
        </w:tc>
      </w:tr>
      <w:tr w:rsidR="00DE749A" w:rsidRPr="00DE749A" w:rsidTr="00D772B8">
        <w:trPr>
          <w:jc w:val="center"/>
        </w:trPr>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2</w:t>
            </w:r>
          </w:p>
        </w:tc>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772B8" w:rsidRDefault="00D772B8" w:rsidP="00DE749A">
            <w:pPr>
              <w:bidi w:val="0"/>
              <w:spacing w:line="0" w:lineRule="atLeast"/>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Ban from appearing on media </w:t>
            </w:r>
          </w:p>
          <w:p w:rsidR="00DE749A" w:rsidRPr="00DE749A" w:rsidRDefault="00DE749A" w:rsidP="00D772B8">
            <w:pPr>
              <w:bidi w:val="0"/>
              <w:spacing w:line="0" w:lineRule="atLeast"/>
              <w:jc w:val="center"/>
              <w:rPr>
                <w:rFonts w:ascii="Times New Roman" w:eastAsia="Times New Roman" w:hAnsi="Times New Roman" w:cs="Times New Roman"/>
                <w:sz w:val="24"/>
                <w:szCs w:val="24"/>
              </w:rPr>
            </w:pPr>
          </w:p>
        </w:tc>
      </w:tr>
      <w:tr w:rsidR="00DE749A" w:rsidRPr="00DE749A" w:rsidTr="00D772B8">
        <w:trPr>
          <w:jc w:val="center"/>
        </w:trPr>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E749A" w:rsidP="00DE749A">
            <w:pPr>
              <w:bidi w:val="0"/>
              <w:spacing w:line="0" w:lineRule="atLeast"/>
              <w:jc w:val="center"/>
              <w:rPr>
                <w:rFonts w:ascii="Times New Roman" w:eastAsia="Times New Roman" w:hAnsi="Times New Roman" w:cs="Times New Roman"/>
                <w:sz w:val="24"/>
                <w:szCs w:val="24"/>
              </w:rPr>
            </w:pPr>
            <w:r w:rsidRPr="00DE749A">
              <w:rPr>
                <w:rFonts w:ascii="Cambria" w:eastAsia="Times New Roman" w:hAnsi="Cambria" w:cs="Times New Roman"/>
                <w:color w:val="000000"/>
                <w:sz w:val="24"/>
                <w:szCs w:val="24"/>
              </w:rPr>
              <w:t>1</w:t>
            </w:r>
          </w:p>
        </w:tc>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E749A" w:rsidRPr="00DE749A" w:rsidRDefault="00D772B8" w:rsidP="00DE749A">
            <w:pPr>
              <w:bidi w:val="0"/>
              <w:spacing w:line="0" w:lineRule="atLeast"/>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Removal of press articles/reports</w:t>
            </w:r>
          </w:p>
        </w:tc>
      </w:tr>
      <w:tr w:rsidR="00D772B8" w:rsidRPr="00DE749A" w:rsidTr="00D772B8">
        <w:trPr>
          <w:jc w:val="center"/>
        </w:trPr>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772B8" w:rsidRPr="00DE749A" w:rsidRDefault="00D772B8" w:rsidP="00DE749A">
            <w:pPr>
              <w:bidi w:val="0"/>
              <w:spacing w:line="0" w:lineRule="atLeast"/>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p>
        </w:tc>
        <w:tc>
          <w:tcPr>
            <w:tcW w:w="0" w:type="auto"/>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D772B8" w:rsidRDefault="00D772B8" w:rsidP="00DE749A">
            <w:pPr>
              <w:bidi w:val="0"/>
              <w:spacing w:line="0" w:lineRule="atLeast"/>
              <w:jc w:val="center"/>
              <w:rPr>
                <w:rFonts w:asciiTheme="minorHAnsi" w:eastAsia="Times New Roman" w:hAnsiTheme="minorHAnsi" w:cs="Times New Roman"/>
                <w:sz w:val="24"/>
                <w:szCs w:val="24"/>
              </w:rPr>
            </w:pPr>
            <w:r w:rsidRPr="00D772B8">
              <w:rPr>
                <w:rFonts w:asciiTheme="minorHAnsi" w:eastAsia="Times New Roman" w:hAnsiTheme="minorHAnsi" w:cs="Times New Roman"/>
                <w:sz w:val="24"/>
                <w:szCs w:val="24"/>
              </w:rPr>
              <w:t>Physical and verbal attacks</w:t>
            </w:r>
          </w:p>
        </w:tc>
      </w:tr>
    </w:tbl>
    <w:p w:rsidR="00DE749A" w:rsidRPr="00DE749A" w:rsidRDefault="00DE749A" w:rsidP="00DE749A">
      <w:pPr>
        <w:bidi w:val="0"/>
        <w:spacing w:line="240" w:lineRule="auto"/>
        <w:rPr>
          <w:rFonts w:ascii="Times New Roman" w:eastAsia="Times New Roman" w:hAnsi="Times New Roman" w:cs="Times New Roman"/>
          <w:sz w:val="24"/>
          <w:szCs w:val="24"/>
        </w:rPr>
      </w:pPr>
    </w:p>
    <w:p w:rsidR="00F375A6" w:rsidRDefault="00F375A6" w:rsidP="002521B7">
      <w:pPr>
        <w:shd w:val="clear" w:color="auto" w:fill="FFFFFF"/>
        <w:bidi w:val="0"/>
        <w:spacing w:before="150" w:after="150" w:line="240" w:lineRule="auto"/>
        <w:ind w:left="150" w:right="150"/>
        <w:rPr>
          <w:rFonts w:ascii="Calibri" w:eastAsia="Times New Roman" w:hAnsi="Calibri" w:cs="Calibri"/>
          <w:b/>
          <w:bCs/>
          <w:color w:val="000000"/>
          <w:sz w:val="24"/>
          <w:szCs w:val="24"/>
          <w:u w:val="single"/>
        </w:rPr>
      </w:pPr>
      <w:r>
        <w:rPr>
          <w:rFonts w:ascii="Calibri" w:eastAsia="Times New Roman" w:hAnsi="Calibri" w:cs="Calibri"/>
          <w:b/>
          <w:bCs/>
          <w:noProof/>
          <w:color w:val="000000"/>
          <w:sz w:val="24"/>
          <w:szCs w:val="24"/>
          <w:u w:val="single"/>
        </w:rPr>
        <w:lastRenderedPageBreak/>
        <w:drawing>
          <wp:anchor distT="0" distB="0" distL="114300" distR="114300" simplePos="0" relativeHeight="251665408" behindDoc="0" locked="0" layoutInCell="1" allowOverlap="1">
            <wp:simplePos x="0" y="0"/>
            <wp:positionH relativeFrom="column">
              <wp:posOffset>655320</wp:posOffset>
            </wp:positionH>
            <wp:positionV relativeFrom="paragraph">
              <wp:posOffset>0</wp:posOffset>
            </wp:positionV>
            <wp:extent cx="4298950" cy="8229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لنسب-المئوية-للاعتداءات-على-حريات-الاعلام.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8950" cy="8229600"/>
                    </a:xfrm>
                    <a:prstGeom prst="rect">
                      <a:avLst/>
                    </a:prstGeom>
                  </pic:spPr>
                </pic:pic>
              </a:graphicData>
            </a:graphic>
          </wp:anchor>
        </w:drawing>
      </w:r>
    </w:p>
    <w:p w:rsidR="002521B7" w:rsidRPr="00F375A6" w:rsidRDefault="002521B7" w:rsidP="00F375A6">
      <w:pPr>
        <w:shd w:val="clear" w:color="auto" w:fill="FFFFFF"/>
        <w:bidi w:val="0"/>
        <w:spacing w:before="150" w:after="150" w:line="240" w:lineRule="auto"/>
        <w:ind w:left="150" w:right="150"/>
        <w:rPr>
          <w:rFonts w:ascii="Times New Roman" w:eastAsia="Times New Roman" w:hAnsi="Times New Roman" w:cs="Times New Roman"/>
          <w:sz w:val="40"/>
          <w:szCs w:val="40"/>
        </w:rPr>
      </w:pPr>
      <w:r w:rsidRPr="00F375A6">
        <w:rPr>
          <w:rFonts w:ascii="Calibri" w:eastAsia="Times New Roman" w:hAnsi="Calibri" w:cs="Calibri"/>
          <w:b/>
          <w:bCs/>
          <w:color w:val="000000"/>
          <w:sz w:val="40"/>
          <w:szCs w:val="40"/>
          <w:u w:val="single"/>
        </w:rPr>
        <w:lastRenderedPageBreak/>
        <w:t>Fifth: Attack on Human Rights Defenders</w:t>
      </w:r>
      <w:r w:rsidRPr="00F375A6">
        <w:rPr>
          <w:rFonts w:ascii="Calibri" w:eastAsia="Times New Roman" w:hAnsi="Calibri" w:cs="Calibri"/>
          <w:color w:val="000000"/>
          <w:sz w:val="40"/>
          <w:szCs w:val="40"/>
          <w:u w:val="single"/>
        </w:rPr>
        <w:t>:</w:t>
      </w:r>
    </w:p>
    <w:p w:rsidR="002521B7" w:rsidRDefault="005214F8" w:rsidP="005214F8">
      <w:pPr>
        <w:pStyle w:val="ListParagraph"/>
        <w:numPr>
          <w:ilvl w:val="0"/>
          <w:numId w:val="16"/>
        </w:numPr>
        <w:bidi w:val="0"/>
        <w:spacing w:after="120" w:line="240" w:lineRule="auto"/>
        <w:rPr>
          <w:rFonts w:asciiTheme="minorHAnsi" w:eastAsia="Times New Roman" w:hAnsiTheme="minorHAnsi" w:cs="Times New Roman"/>
          <w:sz w:val="24"/>
          <w:szCs w:val="24"/>
        </w:rPr>
      </w:pPr>
      <w:r w:rsidRPr="005214F8">
        <w:rPr>
          <w:rFonts w:asciiTheme="minorHAnsi" w:eastAsia="Times New Roman" w:hAnsiTheme="minorHAnsi" w:cs="Times New Roman"/>
          <w:sz w:val="24"/>
          <w:szCs w:val="24"/>
        </w:rPr>
        <w:t>On 4 April 2020, Cairo Criminal Court postponed the consideration of the detention renewal of human rights lawyer Mohamed al-Baqir and activist Alaa Abdel-Fattah pending the Case No. 1356 of 2019 State Security, in which they are charged with joining a terrorist group, committing one of funding-related crimes, spreading and broadcasting false news and statements, and misusing the Internet. The case was adjourned for the hearing of 18 April due to the inability to transfer the two defendants from their jail to the courthouse.</w:t>
      </w:r>
      <w:r>
        <w:rPr>
          <w:rFonts w:asciiTheme="minorHAnsi" w:eastAsia="Times New Roman" w:hAnsiTheme="minorHAnsi" w:cs="Times New Roman"/>
          <w:sz w:val="24"/>
          <w:szCs w:val="24"/>
        </w:rPr>
        <w:t xml:space="preserve"> On 5 May, Giza Criminal Court decided to renew their detention of the two human rights defenders for further 45 days. </w:t>
      </w:r>
    </w:p>
    <w:p w:rsidR="005214F8" w:rsidRDefault="005214F8" w:rsidP="005214F8">
      <w:pPr>
        <w:pStyle w:val="ListParagraph"/>
        <w:bidi w:val="0"/>
        <w:spacing w:after="120" w:line="240" w:lineRule="auto"/>
        <w:rPr>
          <w:rFonts w:asciiTheme="minorHAnsi" w:eastAsia="Times New Roman" w:hAnsiTheme="minorHAnsi" w:cs="Times New Roman"/>
          <w:sz w:val="24"/>
          <w:szCs w:val="24"/>
        </w:rPr>
      </w:pPr>
    </w:p>
    <w:p w:rsidR="005214F8" w:rsidRDefault="005214F8" w:rsidP="00596C4E">
      <w:pPr>
        <w:pStyle w:val="ListParagraph"/>
        <w:numPr>
          <w:ilvl w:val="0"/>
          <w:numId w:val="16"/>
        </w:numPr>
        <w:bidi w:val="0"/>
        <w:spacing w:after="120" w:line="240" w:lineRule="auto"/>
        <w:rPr>
          <w:rFonts w:asciiTheme="minorHAnsi" w:eastAsia="Times New Roman" w:hAnsiTheme="minorHAnsi" w:cs="Times New Roman"/>
          <w:sz w:val="24"/>
          <w:szCs w:val="24"/>
        </w:rPr>
      </w:pPr>
      <w:r w:rsidRPr="005214F8">
        <w:rPr>
          <w:rFonts w:ascii="Cambria" w:eastAsia="Times New Roman" w:hAnsi="Cambria" w:cs="Times New Roman"/>
          <w:color w:val="000000"/>
          <w:sz w:val="24"/>
          <w:szCs w:val="24"/>
        </w:rPr>
        <w:t>On 4 April 2020, Cairo Criminal Court postponed the consideration of the detention renewal of human rights lawyer Mahinour El-Masry pending the Case No. 488 of 2019 State Security, on charges of abetting a terrorist group to achieve its goals, spreading false news and statements, and misusing social media. The case was adjourned for the hearing of 18 April due to the inability to transfer her from her jail to the courthous</w:t>
      </w:r>
      <w:r>
        <w:rPr>
          <w:rFonts w:ascii="Cambria" w:eastAsia="Times New Roman" w:hAnsi="Cambria" w:cs="Times New Roman"/>
          <w:color w:val="000000"/>
          <w:sz w:val="24"/>
          <w:szCs w:val="24"/>
        </w:rPr>
        <w:t xml:space="preserve">e. On 5 May 2020, </w:t>
      </w:r>
      <w:r>
        <w:rPr>
          <w:rFonts w:asciiTheme="minorHAnsi" w:eastAsia="Times New Roman" w:hAnsiTheme="minorHAnsi" w:cs="Times New Roman"/>
          <w:sz w:val="24"/>
          <w:szCs w:val="24"/>
        </w:rPr>
        <w:t xml:space="preserve">Giza Criminal Court decided to renew </w:t>
      </w:r>
      <w:r w:rsidR="00596C4E">
        <w:rPr>
          <w:rFonts w:asciiTheme="minorHAnsi" w:eastAsia="Times New Roman" w:hAnsiTheme="minorHAnsi" w:cs="Times New Roman"/>
          <w:sz w:val="24"/>
          <w:szCs w:val="24"/>
        </w:rPr>
        <w:t>El-Masry's</w:t>
      </w:r>
      <w:r>
        <w:rPr>
          <w:rFonts w:asciiTheme="minorHAnsi" w:eastAsia="Times New Roman" w:hAnsiTheme="minorHAnsi" w:cs="Times New Roman"/>
          <w:sz w:val="24"/>
          <w:szCs w:val="24"/>
        </w:rPr>
        <w:t xml:space="preserve"> detention for </w:t>
      </w:r>
      <w:r w:rsidR="00596C4E">
        <w:rPr>
          <w:rFonts w:asciiTheme="minorHAnsi" w:eastAsia="Times New Roman" w:hAnsiTheme="minorHAnsi" w:cs="Times New Roman"/>
          <w:sz w:val="24"/>
          <w:szCs w:val="24"/>
        </w:rPr>
        <w:t>45 days. The following day</w:t>
      </w:r>
      <w:r>
        <w:rPr>
          <w:rFonts w:asciiTheme="minorHAnsi" w:eastAsia="Times New Roman" w:hAnsiTheme="minorHAnsi" w:cs="Times New Roman"/>
          <w:sz w:val="24"/>
          <w:szCs w:val="24"/>
        </w:rPr>
        <w:t xml:space="preserve"> </w:t>
      </w:r>
      <w:r w:rsidR="00596C4E">
        <w:rPr>
          <w:rFonts w:asciiTheme="minorHAnsi" w:eastAsia="Times New Roman" w:hAnsiTheme="minorHAnsi" w:cs="Times New Roman"/>
          <w:sz w:val="24"/>
          <w:szCs w:val="24"/>
        </w:rPr>
        <w:t xml:space="preserve">(6 May) </w:t>
      </w:r>
      <w:r>
        <w:rPr>
          <w:rFonts w:asciiTheme="minorHAnsi" w:eastAsia="Times New Roman" w:hAnsiTheme="minorHAnsi" w:cs="Times New Roman"/>
          <w:sz w:val="24"/>
          <w:szCs w:val="24"/>
        </w:rPr>
        <w:t xml:space="preserve">the same court </w:t>
      </w:r>
      <w:r w:rsidR="00596C4E">
        <w:rPr>
          <w:rFonts w:asciiTheme="minorHAnsi" w:eastAsia="Times New Roman" w:hAnsiTheme="minorHAnsi" w:cs="Times New Roman"/>
          <w:sz w:val="24"/>
          <w:szCs w:val="24"/>
        </w:rPr>
        <w:t xml:space="preserve">extended the lawyer's detention for further 45 days. </w:t>
      </w:r>
      <w:r>
        <w:rPr>
          <w:rFonts w:asciiTheme="minorHAnsi" w:eastAsia="Times New Roman" w:hAnsiTheme="minorHAnsi" w:cs="Times New Roman"/>
          <w:sz w:val="24"/>
          <w:szCs w:val="24"/>
        </w:rPr>
        <w:t xml:space="preserve">  </w:t>
      </w:r>
    </w:p>
    <w:p w:rsidR="00596C4E" w:rsidRPr="00596C4E" w:rsidRDefault="00596C4E" w:rsidP="00596C4E">
      <w:pPr>
        <w:pStyle w:val="ListParagraph"/>
        <w:rPr>
          <w:rFonts w:asciiTheme="minorHAnsi" w:eastAsia="Times New Roman" w:hAnsiTheme="minorHAnsi" w:cs="Times New Roman"/>
          <w:sz w:val="24"/>
          <w:szCs w:val="24"/>
        </w:rPr>
      </w:pPr>
    </w:p>
    <w:p w:rsidR="005214F8" w:rsidRDefault="00596C4E" w:rsidP="00596C4E">
      <w:pPr>
        <w:pStyle w:val="ListParagraph"/>
        <w:numPr>
          <w:ilvl w:val="0"/>
          <w:numId w:val="16"/>
        </w:numPr>
        <w:bidi w:val="0"/>
        <w:spacing w:after="12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On 4 March 2020, Cairo </w:t>
      </w:r>
      <w:r w:rsidRPr="00596C4E">
        <w:rPr>
          <w:rFonts w:asciiTheme="minorHAnsi" w:eastAsia="Times New Roman" w:hAnsiTheme="minorHAnsi" w:cs="Times New Roman"/>
          <w:sz w:val="24"/>
          <w:szCs w:val="24"/>
        </w:rPr>
        <w:t xml:space="preserve">Criminal Court decided to </w:t>
      </w:r>
      <w:r>
        <w:rPr>
          <w:rFonts w:asciiTheme="minorHAnsi" w:eastAsia="Times New Roman" w:hAnsiTheme="minorHAnsi" w:cs="Times New Roman"/>
          <w:sz w:val="24"/>
          <w:szCs w:val="24"/>
        </w:rPr>
        <w:t>adjourn</w:t>
      </w:r>
      <w:r w:rsidRPr="00596C4E">
        <w:rPr>
          <w:rFonts w:asciiTheme="minorHAnsi" w:eastAsia="Times New Roman" w:hAnsiTheme="minorHAnsi" w:cs="Times New Roman"/>
          <w:sz w:val="24"/>
          <w:szCs w:val="24"/>
        </w:rPr>
        <w:t xml:space="preserve"> the detention</w:t>
      </w:r>
      <w:r>
        <w:rPr>
          <w:rFonts w:asciiTheme="minorHAnsi" w:eastAsia="Times New Roman" w:hAnsiTheme="minorHAnsi" w:cs="Times New Roman"/>
          <w:sz w:val="24"/>
          <w:szCs w:val="24"/>
        </w:rPr>
        <w:t xml:space="preserve"> renewal</w:t>
      </w:r>
      <w:r w:rsidRPr="00596C4E">
        <w:rPr>
          <w:rFonts w:asciiTheme="minorHAnsi" w:eastAsia="Times New Roman" w:hAnsiTheme="minorHAnsi" w:cs="Times New Roman"/>
          <w:sz w:val="24"/>
          <w:szCs w:val="24"/>
        </w:rPr>
        <w:t xml:space="preserve"> of h</w:t>
      </w:r>
      <w:r>
        <w:rPr>
          <w:rFonts w:asciiTheme="minorHAnsi" w:eastAsia="Times New Roman" w:hAnsiTheme="minorHAnsi" w:cs="Times New Roman"/>
          <w:sz w:val="24"/>
          <w:szCs w:val="24"/>
        </w:rPr>
        <w:t>uman rights lawyer Haytham Mohamad</w:t>
      </w:r>
      <w:r w:rsidRPr="00596C4E">
        <w:rPr>
          <w:rFonts w:asciiTheme="minorHAnsi" w:eastAsia="Times New Roman" w:hAnsiTheme="minorHAnsi" w:cs="Times New Roman"/>
          <w:sz w:val="24"/>
          <w:szCs w:val="24"/>
        </w:rPr>
        <w:t>ein pending case No. 741 of 2019 State Security, on charges of colluding with a terrorist group to achieve its goals and spreading false news and statements</w:t>
      </w:r>
      <w:r>
        <w:rPr>
          <w:rFonts w:asciiTheme="minorHAnsi" w:eastAsia="Times New Roman" w:hAnsiTheme="minorHAnsi" w:cs="Times New Roman"/>
          <w:sz w:val="24"/>
          <w:szCs w:val="24"/>
        </w:rPr>
        <w:t xml:space="preserve">. The case was postponed for the hearing of April 18, 2020 due to the inability to transfer the defendant from his jail to the courthouse. On 3 May 2020, Giza Criminal Court renewed </w:t>
      </w:r>
      <w:r w:rsidRPr="00596C4E">
        <w:rPr>
          <w:rFonts w:asciiTheme="minorHAnsi" w:eastAsia="Times New Roman" w:hAnsiTheme="minorHAnsi" w:cs="Times New Roman"/>
          <w:sz w:val="24"/>
          <w:szCs w:val="24"/>
        </w:rPr>
        <w:t>Mohamadein</w:t>
      </w:r>
      <w:r>
        <w:rPr>
          <w:rFonts w:asciiTheme="minorHAnsi" w:eastAsia="Times New Roman" w:hAnsiTheme="minorHAnsi" w:cs="Times New Roman"/>
          <w:sz w:val="24"/>
          <w:szCs w:val="24"/>
        </w:rPr>
        <w:t>'s detention for 45 days. On 7 May 2020, his detention was renewed for further 45 days by the same court.</w:t>
      </w:r>
    </w:p>
    <w:p w:rsidR="00596C4E" w:rsidRPr="00596C4E" w:rsidRDefault="00596C4E" w:rsidP="00596C4E">
      <w:pPr>
        <w:pStyle w:val="ListParagraph"/>
        <w:rPr>
          <w:rFonts w:asciiTheme="minorHAnsi" w:eastAsia="Times New Roman" w:hAnsiTheme="minorHAnsi" w:cs="Times New Roman"/>
          <w:sz w:val="24"/>
          <w:szCs w:val="24"/>
        </w:rPr>
      </w:pPr>
    </w:p>
    <w:p w:rsidR="00596C4E" w:rsidRDefault="00596C4E"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596C4E">
        <w:rPr>
          <w:rFonts w:asciiTheme="minorHAnsi" w:eastAsia="Times New Roman" w:hAnsiTheme="minorHAnsi" w:cs="Times New Roman"/>
          <w:sz w:val="24"/>
          <w:szCs w:val="24"/>
        </w:rPr>
        <w:t>On 9 April 2020, the Supreme State Security Prosecution decided to renew the detention of lawyer Mohsen Bahnasi- without being appeared before the Prosecution- for 15 days pending the Case No. 558 of 2020 State Security on charges of joining a terrorist group, spreading false news and statements and misusing social media</w:t>
      </w:r>
      <w:r>
        <w:rPr>
          <w:rFonts w:asciiTheme="minorHAnsi" w:eastAsia="Times New Roman" w:hAnsiTheme="minorHAnsi" w:cs="Times New Roman"/>
          <w:sz w:val="24"/>
          <w:szCs w:val="24"/>
        </w:rPr>
        <w:t xml:space="preserve">. On 29 April, the State Security Prosecution extended the lawyer's detention for 15 days, </w:t>
      </w:r>
      <w:r w:rsidR="00F33D3A">
        <w:rPr>
          <w:rFonts w:asciiTheme="minorHAnsi" w:eastAsia="Times New Roman" w:hAnsiTheme="minorHAnsi" w:cs="Times New Roman"/>
          <w:sz w:val="24"/>
          <w:szCs w:val="24"/>
        </w:rPr>
        <w:t xml:space="preserve">which </w:t>
      </w:r>
      <w:r>
        <w:rPr>
          <w:rFonts w:asciiTheme="minorHAnsi" w:eastAsia="Times New Roman" w:hAnsiTheme="minorHAnsi" w:cs="Times New Roman"/>
          <w:sz w:val="24"/>
          <w:szCs w:val="24"/>
        </w:rPr>
        <w:t>was extended for further 15 days by the Prosecution on the 6</w:t>
      </w:r>
      <w:r w:rsidRPr="00596C4E">
        <w:rPr>
          <w:rFonts w:asciiTheme="minorHAnsi" w:eastAsia="Times New Roman" w:hAnsiTheme="minorHAnsi" w:cs="Times New Roman"/>
          <w:sz w:val="24"/>
          <w:szCs w:val="24"/>
          <w:vertAlign w:val="superscript"/>
        </w:rPr>
        <w:t>th</w:t>
      </w:r>
      <w:r>
        <w:rPr>
          <w:rFonts w:asciiTheme="minorHAnsi" w:eastAsia="Times New Roman" w:hAnsiTheme="minorHAnsi" w:cs="Times New Roman"/>
          <w:sz w:val="24"/>
          <w:szCs w:val="24"/>
        </w:rPr>
        <w:t xml:space="preserve"> of May 2020. </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12 April 2020, the Court of Administrative Justice decided to postpone the appeal No. 31973 of 73 (judicial year) filed by Hisham Jafar, journalist and head of 'Mada' Foundation for Media Development, challenging his exclusion from the Journalists Syndicate's mid-term elections. The appeal was administratively postponed to a hearing to be set later, in implementation of the State Council head's decision to suspend court proceedings.</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lastRenderedPageBreak/>
        <w:t>On 21 April 2020, Cairo Criminal Court ordered the continuation of precautionary measures (appearing before the police station one day a week for 2 hours) issued against Hisham Jafar, journalist and head of 'Mada' Foundation for Media Development, for 45 days pending case No. 720 of 2015 State Security, in which he faces charges of joining a terrorist group and receiving international bribery.</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 xml:space="preserve">On 23 April 2020, South Cairo Criminal decided to adjourn the sentencing hearing in the appeal filed by 11 human rights defenders for the hearing of 18 June 2020. The appeal challenges the travel- ban decision issued against them by the investigating judge presiding over the case known in the media as "closure of the civil society".  </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3 May 2020, Giza Criminal Court renewed the detention of human rights lawyer Sayed al-Banna, Dr. Walid Shawki and linguist Ayman Abdel-Moati- without bringing them from their jail- for 45 days pending the case No. 621 of 2018 State Security, in which they face charges of joining a terrorist group and spreading false news and statements.</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4 May 2020, the Supreme State Security Prosecution interrogated activist Marwa Arafa and ruled to hold her in detention for 15 days pending the Case No. 570 of 2020 State Security, after charging her with joining a terrorist group with the knowledge of its purposes and committing a crime of financing of terrorism.</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4 May 2020, Giz Criminal Court renewed the detention of engineer Yehia Hussein Abdel Hady for further 45 days pending investigations into the Case No. 277 of 2019 State Security, in which he is accused of colluding with a terrorist group to achieve its goals and spreading and broadcasting false news and statements.</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4 May 2020, Giza Criminal Court renewed the detention of journalist and activist Israa Abdel-Fattah – without bringing her from her jail- for 45 days pending the Case No. 488 of 2019 State Security, on charges of colluding with a terrorist group to achieve its goals, publishing and broadcasting false news and statements, and misusing social media.</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5 May 2020, Giza Criminal Court renewed the detention of journalists Khaled Daoud, Hossam al-Sayyad and Solafa Magdy- without bringing them from their jail to the courthouse- for 45 days pending the Case No. 488 of 2019 State Security, on charges of abetting a terrorist group to achieve its goals, spreading false news and statements, and misusing social media.</w:t>
      </w:r>
      <w:r>
        <w:rPr>
          <w:rFonts w:asciiTheme="minorHAnsi" w:eastAsia="Times New Roman" w:hAnsiTheme="minorHAnsi" w:cs="Times New Roman"/>
          <w:sz w:val="24"/>
          <w:szCs w:val="24"/>
        </w:rPr>
        <w:t xml:space="preserve"> </w:t>
      </w:r>
      <w:r w:rsidRPr="00F33D3A">
        <w:rPr>
          <w:rFonts w:asciiTheme="minorHAnsi" w:eastAsia="Times New Roman" w:hAnsiTheme="minorHAnsi" w:cs="Times New Roman"/>
          <w:sz w:val="24"/>
          <w:szCs w:val="24"/>
        </w:rPr>
        <w:t>On 6 May 2020, Giza Criminal Court renewed the detention of journalists Khaled Daoud- without bringing him from his jail- for further 45 days pending the aforementioned case and charges.</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 xml:space="preserve">On 6 May 2020, Giza Criminal Court decided to renew the detention of human rights lawyer Zyiad Elelaimy and journalists Hossam Moanis and Hisham Fouad- without bringing them from their jail to the courthouse- for 45 days, pending the Case No. </w:t>
      </w:r>
      <w:r w:rsidRPr="00F33D3A">
        <w:rPr>
          <w:rFonts w:asciiTheme="minorHAnsi" w:eastAsia="Times New Roman" w:hAnsiTheme="minorHAnsi" w:cs="Times New Roman"/>
          <w:sz w:val="24"/>
          <w:szCs w:val="24"/>
        </w:rPr>
        <w:lastRenderedPageBreak/>
        <w:t>930 of 2019 State Security, in which they face charges of abetting a terrorist group in achieving its goals and spreading false news and statements.</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14 May 2020, the Court of Administrative Justice decided to postpone the appeal No. 39418 of 73 (judicial year) filed by human rights lawyer Gamal Eid and journalist Khaled Balshi challenging the list of sanctions and regulations of the Law Regulating the Press and Media.  The appeal was postponed to the hearing of the first of June, 2020.</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17 May 2020, Cairo Criminal Court decided to postpone the consideration of the detention renewal of human rights lawyer Amr Imam, journalists Israa Abdel-Fattah, Solafa Magdy and Hossam al-Sayyad pending the Case No. 488 of 2019 State Security, in which they face charges of colluding with a terrorist group to achieve its goals, publishing and broadcasting false news and statements, and misusing social media. The case was postponed to the hearings of the first and the second of June 2020, due to the inability to transfer the defendants from their jail to the courthouse.</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33D3A">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17 May 2020, the security forces in charge of securing the Tora Prison Complex arrested journalist and editor-in-chief of Mada Masr Lina Attalah, from outside Tora Prison, where she had been interviewing Laila Soueif. A report had been filed, registered under No. 8009 of 2020 Maadi Misdemenour, before she was referred to the Public Prosecution which ordered her release on bail of EGP 2000 after accusing her of "filming a military facility without permit".</w:t>
      </w:r>
    </w:p>
    <w:p w:rsidR="00F33D3A" w:rsidRPr="00F33D3A" w:rsidRDefault="00F33D3A" w:rsidP="00F33D3A">
      <w:pPr>
        <w:pStyle w:val="ListParagraph"/>
        <w:rPr>
          <w:rFonts w:asciiTheme="minorHAnsi" w:eastAsia="Times New Roman" w:hAnsiTheme="minorHAnsi" w:cs="Times New Roman"/>
          <w:sz w:val="24"/>
          <w:szCs w:val="24"/>
        </w:rPr>
      </w:pPr>
    </w:p>
    <w:p w:rsidR="00F33D3A" w:rsidRDefault="00F33D3A" w:rsidP="00F95172">
      <w:pPr>
        <w:pStyle w:val="ListParagraph"/>
        <w:numPr>
          <w:ilvl w:val="0"/>
          <w:numId w:val="16"/>
        </w:numPr>
        <w:bidi w:val="0"/>
        <w:spacing w:after="120" w:line="240" w:lineRule="auto"/>
        <w:rPr>
          <w:rFonts w:asciiTheme="minorHAnsi" w:eastAsia="Times New Roman" w:hAnsiTheme="minorHAnsi" w:cs="Times New Roman"/>
          <w:sz w:val="24"/>
          <w:szCs w:val="24"/>
        </w:rPr>
      </w:pPr>
      <w:r w:rsidRPr="00F33D3A">
        <w:rPr>
          <w:rFonts w:asciiTheme="minorHAnsi" w:eastAsia="Times New Roman" w:hAnsiTheme="minorHAnsi" w:cs="Times New Roman"/>
          <w:sz w:val="24"/>
          <w:szCs w:val="24"/>
        </w:rPr>
        <w:t>On 20 May 2020, the security forces arrested</w:t>
      </w:r>
      <w:r w:rsidR="00F95172">
        <w:rPr>
          <w:rFonts w:asciiTheme="minorHAnsi" w:eastAsia="Times New Roman" w:hAnsiTheme="minorHAnsi" w:cs="Times New Roman"/>
          <w:sz w:val="24"/>
          <w:szCs w:val="24"/>
        </w:rPr>
        <w:t xml:space="preserve"> journalist and researcher</w:t>
      </w:r>
      <w:r w:rsidRPr="00F33D3A">
        <w:rPr>
          <w:rFonts w:asciiTheme="minorHAnsi" w:eastAsia="Times New Roman" w:hAnsiTheme="minorHAnsi" w:cs="Times New Roman"/>
          <w:sz w:val="24"/>
          <w:szCs w:val="24"/>
        </w:rPr>
        <w:t xml:space="preserve"> Sh</w:t>
      </w:r>
      <w:r w:rsidR="00F95172">
        <w:rPr>
          <w:rFonts w:asciiTheme="minorHAnsi" w:eastAsia="Times New Roman" w:hAnsiTheme="minorHAnsi" w:cs="Times New Roman"/>
          <w:sz w:val="24"/>
          <w:szCs w:val="24"/>
        </w:rPr>
        <w:t>a</w:t>
      </w:r>
      <w:r w:rsidRPr="00F33D3A">
        <w:rPr>
          <w:rFonts w:asciiTheme="minorHAnsi" w:eastAsia="Times New Roman" w:hAnsiTheme="minorHAnsi" w:cs="Times New Roman"/>
          <w:sz w:val="24"/>
          <w:szCs w:val="24"/>
        </w:rPr>
        <w:t>imaa Samy from her house in Alexandria and took her to an unknown destination</w:t>
      </w:r>
      <w:r w:rsidR="00F95172">
        <w:rPr>
          <w:rFonts w:asciiTheme="minorHAnsi" w:eastAsia="Times New Roman" w:hAnsiTheme="minorHAnsi" w:cs="Times New Roman"/>
          <w:sz w:val="24"/>
          <w:szCs w:val="24"/>
        </w:rPr>
        <w:t xml:space="preserve"> and during this period she hadn’t appeared</w:t>
      </w:r>
      <w:r w:rsidRPr="00F33D3A">
        <w:rPr>
          <w:rFonts w:asciiTheme="minorHAnsi" w:eastAsia="Times New Roman" w:hAnsiTheme="minorHAnsi" w:cs="Times New Roman"/>
          <w:sz w:val="24"/>
          <w:szCs w:val="24"/>
        </w:rPr>
        <w:t xml:space="preserve"> befo</w:t>
      </w:r>
      <w:r w:rsidR="00F95172">
        <w:rPr>
          <w:rFonts w:asciiTheme="minorHAnsi" w:eastAsia="Times New Roman" w:hAnsiTheme="minorHAnsi" w:cs="Times New Roman"/>
          <w:sz w:val="24"/>
          <w:szCs w:val="24"/>
        </w:rPr>
        <w:t>re any investigating authority, until o</w:t>
      </w:r>
      <w:r w:rsidR="00F95172" w:rsidRPr="00F95172">
        <w:rPr>
          <w:rFonts w:asciiTheme="minorHAnsi" w:eastAsia="Times New Roman" w:hAnsiTheme="minorHAnsi" w:cs="Times New Roman"/>
          <w:sz w:val="24"/>
          <w:szCs w:val="24"/>
        </w:rPr>
        <w:t>n 30 March 2020, the Supreme State Se</w:t>
      </w:r>
      <w:r w:rsidR="00F95172">
        <w:rPr>
          <w:rFonts w:asciiTheme="minorHAnsi" w:eastAsia="Times New Roman" w:hAnsiTheme="minorHAnsi" w:cs="Times New Roman"/>
          <w:sz w:val="24"/>
          <w:szCs w:val="24"/>
        </w:rPr>
        <w:t>curity Prosecution interrogated Shimaa</w:t>
      </w:r>
      <w:r w:rsidR="00F95172" w:rsidRPr="00F95172">
        <w:rPr>
          <w:rFonts w:asciiTheme="minorHAnsi" w:eastAsia="Times New Roman" w:hAnsiTheme="minorHAnsi" w:cs="Times New Roman"/>
          <w:sz w:val="24"/>
          <w:szCs w:val="24"/>
        </w:rPr>
        <w:t xml:space="preserve"> over the Case </w:t>
      </w:r>
      <w:r w:rsidR="00F95172">
        <w:rPr>
          <w:rFonts w:asciiTheme="minorHAnsi" w:eastAsia="Times New Roman" w:hAnsiTheme="minorHAnsi" w:cs="Times New Roman"/>
          <w:sz w:val="24"/>
          <w:szCs w:val="24"/>
        </w:rPr>
        <w:t xml:space="preserve">No. 535 of 2020 State Security on charges of: </w:t>
      </w:r>
      <w:r w:rsidR="00F95172" w:rsidRPr="00F95172">
        <w:rPr>
          <w:rFonts w:asciiTheme="minorHAnsi" w:eastAsia="Times New Roman" w:hAnsiTheme="minorHAnsi" w:cs="Times New Roman"/>
          <w:sz w:val="24"/>
          <w:szCs w:val="24"/>
        </w:rPr>
        <w:t xml:space="preserve">joining a terrorist group with knowledge of its goals, misusing social media, and spreading false news and statements. Shaimaa was </w:t>
      </w:r>
      <w:r w:rsidR="00F95172">
        <w:rPr>
          <w:rFonts w:asciiTheme="minorHAnsi" w:eastAsia="Times New Roman" w:hAnsiTheme="minorHAnsi" w:cs="Times New Roman"/>
          <w:sz w:val="24"/>
          <w:szCs w:val="24"/>
        </w:rPr>
        <w:t xml:space="preserve">then </w:t>
      </w:r>
      <w:r w:rsidR="00F95172" w:rsidRPr="00F95172">
        <w:rPr>
          <w:rFonts w:asciiTheme="minorHAnsi" w:eastAsia="Times New Roman" w:hAnsiTheme="minorHAnsi" w:cs="Times New Roman"/>
          <w:sz w:val="24"/>
          <w:szCs w:val="24"/>
        </w:rPr>
        <w:t>ordered to be held for 15 days in pretrial detention.</w:t>
      </w:r>
      <w:r w:rsidRPr="00F33D3A">
        <w:rPr>
          <w:rFonts w:asciiTheme="minorHAnsi" w:eastAsia="Times New Roman" w:hAnsiTheme="minorHAnsi" w:cs="Times New Roman"/>
          <w:sz w:val="24"/>
          <w:szCs w:val="24"/>
        </w:rPr>
        <w:t xml:space="preserve"> </w:t>
      </w:r>
      <w:r w:rsidR="00F95172">
        <w:rPr>
          <w:rFonts w:asciiTheme="minorHAnsi" w:eastAsia="Times New Roman" w:hAnsiTheme="minorHAnsi" w:cs="Times New Roman"/>
          <w:sz w:val="24"/>
          <w:szCs w:val="24"/>
        </w:rPr>
        <w:t xml:space="preserve">On 10 June, the Prosecution ruled to extend the detention of the journalist for 15 days, and on the 22th of the same month, her detention was renewed for further 15 days. </w:t>
      </w:r>
    </w:p>
    <w:p w:rsidR="00F95172" w:rsidRPr="00F95172" w:rsidRDefault="00F95172" w:rsidP="00F95172">
      <w:pPr>
        <w:pStyle w:val="ListParagraph"/>
        <w:rPr>
          <w:rFonts w:asciiTheme="minorHAnsi" w:eastAsia="Times New Roman" w:hAnsiTheme="minorHAnsi" w:cs="Times New Roman"/>
          <w:sz w:val="24"/>
          <w:szCs w:val="24"/>
        </w:rPr>
      </w:pPr>
    </w:p>
    <w:p w:rsidR="00F95172" w:rsidRDefault="00F95172" w:rsidP="00F95172">
      <w:pPr>
        <w:pStyle w:val="ListParagraph"/>
        <w:numPr>
          <w:ilvl w:val="0"/>
          <w:numId w:val="16"/>
        </w:numPr>
        <w:bidi w:val="0"/>
        <w:spacing w:after="120" w:line="240" w:lineRule="auto"/>
        <w:rPr>
          <w:rFonts w:asciiTheme="minorHAnsi" w:eastAsia="Times New Roman" w:hAnsiTheme="minorHAnsi" w:cs="Times New Roman"/>
          <w:sz w:val="24"/>
          <w:szCs w:val="24"/>
        </w:rPr>
      </w:pPr>
      <w:r w:rsidRPr="00F95172">
        <w:rPr>
          <w:rFonts w:asciiTheme="minorHAnsi" w:eastAsia="Times New Roman" w:hAnsiTheme="minorHAnsi" w:cs="Times New Roman"/>
          <w:sz w:val="24"/>
          <w:szCs w:val="24"/>
        </w:rPr>
        <w:t>On 30 May, the Court of Administrative Justice ruled that it has no jurisdiction over the appeal No. 63216 of 71 (judicial year) filed by human rights lawyer Gamal Eid and Dr. Aaida Seif El-Dawla along with other human rights defenders, challenging the decision issued by Cairo Court of Appeal's president ordering that the investigating judge of the case known in the media as "closure of the civil society" would continue to be mandated to preside over the case.</w:t>
      </w:r>
    </w:p>
    <w:p w:rsidR="00F95172" w:rsidRPr="00F95172" w:rsidRDefault="00F95172" w:rsidP="00F95172">
      <w:pPr>
        <w:pStyle w:val="ListParagraph"/>
        <w:rPr>
          <w:rFonts w:asciiTheme="minorHAnsi" w:eastAsia="Times New Roman" w:hAnsiTheme="minorHAnsi" w:cs="Times New Roman"/>
          <w:sz w:val="24"/>
          <w:szCs w:val="24"/>
        </w:rPr>
      </w:pPr>
    </w:p>
    <w:p w:rsidR="00F95172" w:rsidRDefault="00F95172" w:rsidP="00F95172">
      <w:pPr>
        <w:pStyle w:val="ListParagraph"/>
        <w:numPr>
          <w:ilvl w:val="0"/>
          <w:numId w:val="16"/>
        </w:numPr>
        <w:bidi w:val="0"/>
        <w:spacing w:after="120" w:line="240" w:lineRule="auto"/>
        <w:rPr>
          <w:rFonts w:asciiTheme="minorHAnsi" w:eastAsia="Times New Roman" w:hAnsiTheme="minorHAnsi" w:cs="Times New Roman"/>
          <w:sz w:val="24"/>
          <w:szCs w:val="24"/>
        </w:rPr>
      </w:pPr>
      <w:r w:rsidRPr="00F95172">
        <w:rPr>
          <w:rFonts w:asciiTheme="minorHAnsi" w:eastAsia="Times New Roman" w:hAnsiTheme="minorHAnsi" w:cs="Times New Roman"/>
          <w:sz w:val="24"/>
          <w:szCs w:val="24"/>
        </w:rPr>
        <w:t xml:space="preserve">On 3 June 2020, Giza Criminal Court renewed the detention of lawyer Sahar Ali for 45 days pending the Case No. 1358 of 2019 State Security, on charges of abetting a </w:t>
      </w:r>
      <w:r w:rsidRPr="00F95172">
        <w:rPr>
          <w:rFonts w:asciiTheme="minorHAnsi" w:eastAsia="Times New Roman" w:hAnsiTheme="minorHAnsi" w:cs="Times New Roman"/>
          <w:sz w:val="24"/>
          <w:szCs w:val="24"/>
        </w:rPr>
        <w:lastRenderedPageBreak/>
        <w:t>terrorist group to achieve its goals, committing one of financing-related crimes, and spreading and broadcasting false news and statements.</w:t>
      </w:r>
    </w:p>
    <w:p w:rsidR="00F95172" w:rsidRPr="00F95172" w:rsidRDefault="00F95172" w:rsidP="00F95172">
      <w:pPr>
        <w:pStyle w:val="ListParagraph"/>
        <w:rPr>
          <w:rFonts w:asciiTheme="minorHAnsi" w:eastAsia="Times New Roman" w:hAnsiTheme="minorHAnsi" w:cs="Times New Roman"/>
          <w:sz w:val="24"/>
          <w:szCs w:val="24"/>
        </w:rPr>
      </w:pPr>
    </w:p>
    <w:p w:rsidR="00F95172" w:rsidRDefault="00F95172" w:rsidP="00F95172">
      <w:pPr>
        <w:pStyle w:val="ListParagraph"/>
        <w:numPr>
          <w:ilvl w:val="0"/>
          <w:numId w:val="16"/>
        </w:numPr>
        <w:bidi w:val="0"/>
        <w:spacing w:after="120" w:line="240" w:lineRule="auto"/>
        <w:rPr>
          <w:rFonts w:asciiTheme="minorHAnsi" w:eastAsia="Times New Roman" w:hAnsiTheme="minorHAnsi" w:cs="Times New Roman"/>
          <w:sz w:val="24"/>
          <w:szCs w:val="24"/>
        </w:rPr>
      </w:pPr>
      <w:r w:rsidRPr="00F95172">
        <w:rPr>
          <w:rFonts w:asciiTheme="minorHAnsi" w:eastAsia="Times New Roman" w:hAnsiTheme="minorHAnsi" w:cs="Times New Roman"/>
          <w:sz w:val="24"/>
          <w:szCs w:val="24"/>
        </w:rPr>
        <w:t>On 4 June 2020, Giza Criminal Court renewed the detention of lawyer Ibrahim Metwaly, founder of the Association of the Families of the Disappeared, for 15 day pending case No. 1470 of 2019 State Security, on charges of joining a terrorist group, committing crimes of terrorism funding, and spreading false news and statements.</w:t>
      </w:r>
    </w:p>
    <w:p w:rsidR="00F95172" w:rsidRPr="00F95172" w:rsidRDefault="00F95172" w:rsidP="00F95172">
      <w:pPr>
        <w:pStyle w:val="ListParagraph"/>
        <w:rPr>
          <w:rFonts w:asciiTheme="minorHAnsi" w:eastAsia="Times New Roman" w:hAnsiTheme="minorHAnsi" w:cs="Times New Roman"/>
          <w:sz w:val="24"/>
          <w:szCs w:val="24"/>
        </w:rPr>
      </w:pPr>
    </w:p>
    <w:p w:rsidR="00F95172" w:rsidRDefault="00F95172" w:rsidP="00F95172">
      <w:pPr>
        <w:pStyle w:val="ListParagraph"/>
        <w:numPr>
          <w:ilvl w:val="0"/>
          <w:numId w:val="16"/>
        </w:numPr>
        <w:bidi w:val="0"/>
        <w:spacing w:after="120" w:line="240" w:lineRule="auto"/>
        <w:rPr>
          <w:rFonts w:asciiTheme="minorHAnsi" w:eastAsia="Times New Roman" w:hAnsiTheme="minorHAnsi" w:cs="Times New Roman"/>
          <w:sz w:val="24"/>
          <w:szCs w:val="24"/>
        </w:rPr>
      </w:pPr>
      <w:r w:rsidRPr="00F95172">
        <w:rPr>
          <w:rFonts w:asciiTheme="minorHAnsi" w:eastAsia="Times New Roman" w:hAnsiTheme="minorHAnsi" w:cs="Times New Roman"/>
          <w:sz w:val="24"/>
          <w:szCs w:val="24"/>
        </w:rPr>
        <w:t xml:space="preserve">On 14 June 2020, Alexandria Criminal Court renewed the detention of human rights lawyer Mohamed Ramadan for </w:t>
      </w:r>
      <w:r>
        <w:rPr>
          <w:rFonts w:asciiTheme="minorHAnsi" w:eastAsia="Times New Roman" w:hAnsiTheme="minorHAnsi" w:cs="Times New Roman"/>
          <w:sz w:val="24"/>
          <w:szCs w:val="24"/>
        </w:rPr>
        <w:t xml:space="preserve">further </w:t>
      </w:r>
      <w:r w:rsidRPr="00F95172">
        <w:rPr>
          <w:rFonts w:asciiTheme="minorHAnsi" w:eastAsia="Times New Roman" w:hAnsiTheme="minorHAnsi" w:cs="Times New Roman"/>
          <w:sz w:val="24"/>
          <w:szCs w:val="24"/>
        </w:rPr>
        <w:t>45 days pending the Case No. 16576 of 2018 Montazah Administrative, aka "yellow vests" case, on charges of joining a terrorist group, sprea</w:t>
      </w:r>
      <w:r>
        <w:rPr>
          <w:rFonts w:asciiTheme="minorHAnsi" w:eastAsia="Times New Roman" w:hAnsiTheme="minorHAnsi" w:cs="Times New Roman"/>
          <w:sz w:val="24"/>
          <w:szCs w:val="24"/>
        </w:rPr>
        <w:t xml:space="preserve">ding false news and statements </w:t>
      </w:r>
      <w:r w:rsidRPr="00F95172">
        <w:rPr>
          <w:rFonts w:asciiTheme="minorHAnsi" w:eastAsia="Times New Roman" w:hAnsiTheme="minorHAnsi" w:cs="Times New Roman"/>
          <w:sz w:val="24"/>
          <w:szCs w:val="24"/>
        </w:rPr>
        <w:t>and inciting to protest.</w:t>
      </w:r>
    </w:p>
    <w:p w:rsidR="00F95172" w:rsidRPr="00F95172" w:rsidRDefault="00F95172" w:rsidP="00F95172">
      <w:pPr>
        <w:pStyle w:val="ListParagraph"/>
        <w:rPr>
          <w:rFonts w:asciiTheme="minorHAnsi" w:eastAsia="Times New Roman" w:hAnsiTheme="minorHAnsi" w:cs="Times New Roman"/>
          <w:sz w:val="24"/>
          <w:szCs w:val="24"/>
        </w:rPr>
      </w:pPr>
    </w:p>
    <w:p w:rsidR="00F95172" w:rsidRDefault="00F95172" w:rsidP="00F95172">
      <w:pPr>
        <w:pStyle w:val="ListParagraph"/>
        <w:numPr>
          <w:ilvl w:val="0"/>
          <w:numId w:val="16"/>
        </w:numPr>
        <w:bidi w:val="0"/>
        <w:spacing w:after="120" w:line="240" w:lineRule="auto"/>
        <w:rPr>
          <w:rFonts w:asciiTheme="minorHAnsi" w:eastAsia="Times New Roman" w:hAnsiTheme="minorHAnsi" w:cs="Times New Roman"/>
          <w:sz w:val="24"/>
          <w:szCs w:val="24"/>
        </w:rPr>
      </w:pPr>
      <w:r w:rsidRPr="00F95172">
        <w:rPr>
          <w:rFonts w:asciiTheme="minorHAnsi" w:eastAsia="Times New Roman" w:hAnsiTheme="minorHAnsi" w:cs="Times New Roman"/>
          <w:sz w:val="24"/>
          <w:szCs w:val="24"/>
        </w:rPr>
        <w:t xml:space="preserve">On 20 June 2020, Dr. Laila Soueif organized a sit-in outside the Tora Prison Complex, after the prison's authorities refused to give her a letter from her son Alaa Abdel-Fattah who is being detained at a high-security warden in Tora prison 2 pending the Case No. 1356 of 2019 State Security. The security forces </w:t>
      </w:r>
      <w:r>
        <w:rPr>
          <w:rFonts w:asciiTheme="minorHAnsi" w:eastAsia="Times New Roman" w:hAnsiTheme="minorHAnsi" w:cs="Times New Roman"/>
          <w:sz w:val="24"/>
          <w:szCs w:val="24"/>
        </w:rPr>
        <w:t xml:space="preserve">had </w:t>
      </w:r>
      <w:r w:rsidRPr="00F95172">
        <w:rPr>
          <w:rFonts w:asciiTheme="minorHAnsi" w:eastAsia="Times New Roman" w:hAnsiTheme="minorHAnsi" w:cs="Times New Roman"/>
          <w:sz w:val="24"/>
          <w:szCs w:val="24"/>
        </w:rPr>
        <w:t xml:space="preserve">detained </w:t>
      </w:r>
      <w:r>
        <w:rPr>
          <w:rFonts w:asciiTheme="minorHAnsi" w:eastAsia="Times New Roman" w:hAnsiTheme="minorHAnsi" w:cs="Times New Roman"/>
          <w:sz w:val="24"/>
          <w:szCs w:val="24"/>
        </w:rPr>
        <w:t xml:space="preserve">Soueif before they released her later. </w:t>
      </w:r>
    </w:p>
    <w:p w:rsidR="005A132A" w:rsidRDefault="005A132A" w:rsidP="005A132A">
      <w:pPr>
        <w:bidi w:val="0"/>
        <w:spacing w:after="12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w:t>
      </w:r>
    </w:p>
    <w:p w:rsidR="005A132A" w:rsidRPr="005A132A" w:rsidRDefault="005A132A" w:rsidP="005A132A">
      <w:pPr>
        <w:bidi w:val="0"/>
        <w:spacing w:after="120" w:line="240" w:lineRule="auto"/>
        <w:rPr>
          <w:rFonts w:asciiTheme="minorHAnsi" w:eastAsia="Times New Roman" w:hAnsiTheme="minorHAnsi" w:cs="Times New Roman"/>
          <w:sz w:val="24"/>
          <w:szCs w:val="24"/>
        </w:rPr>
      </w:pPr>
      <w:r w:rsidRPr="005A132A">
        <w:rPr>
          <w:rFonts w:asciiTheme="minorHAnsi" w:eastAsia="Times New Roman" w:hAnsiTheme="minorHAnsi" w:cs="Times New Roman"/>
          <w:sz w:val="24"/>
          <w:szCs w:val="24"/>
        </w:rPr>
        <w:t>Note: This report is based on the cases monitored by ANHRI and does not necessarily include all the incidents took place throughout the month.</w:t>
      </w:r>
    </w:p>
    <w:p w:rsidR="005A132A" w:rsidRPr="005A132A" w:rsidRDefault="005A132A" w:rsidP="005A132A">
      <w:pPr>
        <w:bidi w:val="0"/>
        <w:spacing w:after="120" w:line="240" w:lineRule="auto"/>
        <w:rPr>
          <w:rFonts w:asciiTheme="minorHAnsi" w:eastAsia="Times New Roman" w:hAnsiTheme="minorHAnsi" w:cs="Times New Roman"/>
          <w:sz w:val="24"/>
          <w:szCs w:val="24"/>
        </w:rPr>
      </w:pPr>
      <w:r w:rsidRPr="005A132A">
        <w:rPr>
          <w:rFonts w:asciiTheme="minorHAnsi" w:eastAsia="Times New Roman" w:hAnsiTheme="minorHAnsi" w:cs="Times New Roman"/>
          <w:sz w:val="24"/>
          <w:szCs w:val="24"/>
        </w:rPr>
        <w:t>To view the previous Democratic Path reports:</w:t>
      </w:r>
    </w:p>
    <w:p w:rsidR="005A132A" w:rsidRPr="005A132A" w:rsidRDefault="005A132A" w:rsidP="005A132A">
      <w:pPr>
        <w:bidi w:val="0"/>
        <w:spacing w:after="120" w:line="240" w:lineRule="auto"/>
        <w:rPr>
          <w:rFonts w:asciiTheme="minorHAnsi" w:eastAsia="Times New Roman" w:hAnsiTheme="minorHAnsi" w:cs="Times New Roman"/>
          <w:sz w:val="24"/>
          <w:szCs w:val="24"/>
        </w:rPr>
      </w:pPr>
      <w:r w:rsidRPr="005A132A">
        <w:rPr>
          <w:rFonts w:asciiTheme="minorHAnsi" w:eastAsia="Times New Roman" w:hAnsiTheme="minorHAnsi" w:cs="Times New Roman"/>
          <w:sz w:val="24"/>
          <w:szCs w:val="24"/>
        </w:rPr>
        <w:t>To view the Democratic Path Report in 2014, “Obscure and stalled”</w:t>
      </w:r>
    </w:p>
    <w:p w:rsidR="005A132A" w:rsidRPr="005A132A" w:rsidRDefault="005A132A" w:rsidP="005A132A">
      <w:pPr>
        <w:bidi w:val="0"/>
        <w:spacing w:after="120" w:line="240" w:lineRule="auto"/>
        <w:rPr>
          <w:rFonts w:asciiTheme="minorHAnsi" w:eastAsia="Times New Roman" w:hAnsiTheme="minorHAnsi" w:cs="Times New Roman"/>
          <w:sz w:val="24"/>
          <w:szCs w:val="24"/>
        </w:rPr>
      </w:pPr>
      <w:r w:rsidRPr="005A132A">
        <w:rPr>
          <w:rFonts w:asciiTheme="minorHAnsi" w:eastAsia="Times New Roman" w:hAnsiTheme="minorHAnsi" w:cs="Times New Roman"/>
          <w:sz w:val="24"/>
          <w:szCs w:val="24"/>
        </w:rPr>
        <w:t>To view the Democratic Path Report in 2015, “One step back, two steps further back”</w:t>
      </w:r>
    </w:p>
    <w:p w:rsidR="005A132A" w:rsidRPr="005A132A" w:rsidRDefault="005A132A" w:rsidP="005A132A">
      <w:pPr>
        <w:bidi w:val="0"/>
        <w:spacing w:after="120" w:line="240" w:lineRule="auto"/>
        <w:rPr>
          <w:rFonts w:asciiTheme="minorHAnsi" w:eastAsia="Times New Roman" w:hAnsiTheme="minorHAnsi" w:cs="Times New Roman"/>
          <w:sz w:val="24"/>
          <w:szCs w:val="24"/>
        </w:rPr>
      </w:pPr>
      <w:r w:rsidRPr="005A132A">
        <w:rPr>
          <w:rFonts w:asciiTheme="minorHAnsi" w:eastAsia="Times New Roman" w:hAnsiTheme="minorHAnsi" w:cs="Times New Roman"/>
          <w:sz w:val="24"/>
          <w:szCs w:val="24"/>
        </w:rPr>
        <w:t>To view the Democratic Path Report in 2016 “Closed until further notice”</w:t>
      </w:r>
    </w:p>
    <w:p w:rsidR="005A132A" w:rsidRPr="005A132A" w:rsidRDefault="005A132A" w:rsidP="005A132A">
      <w:pPr>
        <w:bidi w:val="0"/>
        <w:spacing w:after="120" w:line="240" w:lineRule="auto"/>
        <w:rPr>
          <w:rFonts w:asciiTheme="minorHAnsi" w:eastAsia="Times New Roman" w:hAnsiTheme="minorHAnsi" w:cs="Times New Roman"/>
          <w:sz w:val="24"/>
          <w:szCs w:val="24"/>
        </w:rPr>
      </w:pPr>
      <w:r w:rsidRPr="005A132A">
        <w:rPr>
          <w:rFonts w:asciiTheme="minorHAnsi" w:eastAsia="Times New Roman" w:hAnsiTheme="minorHAnsi" w:cs="Times New Roman"/>
          <w:sz w:val="24"/>
          <w:szCs w:val="24"/>
        </w:rPr>
        <w:t>To view the Democratic Path Report in 2017, “Very Steep”</w:t>
      </w:r>
    </w:p>
    <w:p w:rsidR="005A132A" w:rsidRDefault="005A132A" w:rsidP="005A132A">
      <w:pPr>
        <w:bidi w:val="0"/>
        <w:spacing w:after="120" w:line="240" w:lineRule="auto"/>
        <w:rPr>
          <w:rFonts w:asciiTheme="minorHAnsi" w:eastAsia="Times New Roman" w:hAnsiTheme="minorHAnsi" w:cs="Times New Roman"/>
          <w:sz w:val="24"/>
          <w:szCs w:val="24"/>
        </w:rPr>
      </w:pPr>
      <w:r w:rsidRPr="005A132A">
        <w:rPr>
          <w:rFonts w:asciiTheme="minorHAnsi" w:eastAsia="Times New Roman" w:hAnsiTheme="minorHAnsi" w:cs="Times New Roman"/>
          <w:sz w:val="24"/>
          <w:szCs w:val="24"/>
        </w:rPr>
        <w:t>To view the Democratic Path Report in 2018, “Mounting Anger".</w:t>
      </w:r>
    </w:p>
    <w:p w:rsidR="00B477F4" w:rsidRDefault="00B477F4" w:rsidP="00B477F4">
      <w:pPr>
        <w:bidi w:val="0"/>
        <w:spacing w:after="120" w:line="240" w:lineRule="auto"/>
        <w:rPr>
          <w:rFonts w:asciiTheme="minorHAnsi" w:eastAsia="Times New Roman" w:hAnsiTheme="minorHAnsi" w:cs="Times New Roman"/>
          <w:sz w:val="24"/>
          <w:szCs w:val="24"/>
        </w:rPr>
      </w:pPr>
      <w:r w:rsidRPr="00B477F4">
        <w:rPr>
          <w:rFonts w:asciiTheme="minorHAnsi" w:eastAsia="Times New Roman" w:hAnsiTheme="minorHAnsi" w:cs="Times New Roman"/>
          <w:sz w:val="24"/>
          <w:szCs w:val="24"/>
        </w:rPr>
        <w:t>Less Hope, More Despair…The Democratic Path in Egypt 2019</w:t>
      </w:r>
    </w:p>
    <w:p w:rsidR="00B477F4" w:rsidRPr="005A132A" w:rsidRDefault="00B477F4" w:rsidP="00B477F4">
      <w:pPr>
        <w:bidi w:val="0"/>
        <w:spacing w:after="120" w:line="240" w:lineRule="auto"/>
        <w:rPr>
          <w:rFonts w:asciiTheme="minorHAnsi" w:eastAsia="Times New Roman" w:hAnsiTheme="minorHAnsi" w:cs="Times New Roman"/>
          <w:sz w:val="24"/>
          <w:szCs w:val="24"/>
        </w:rPr>
      </w:pPr>
    </w:p>
    <w:sectPr w:rsidR="00B477F4" w:rsidRPr="005A132A" w:rsidSect="00FE13EA">
      <w:pgSz w:w="12240" w:h="15840"/>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480" w:rsidRDefault="00192480" w:rsidP="00472320">
      <w:pPr>
        <w:spacing w:line="240" w:lineRule="auto"/>
      </w:pPr>
      <w:r>
        <w:separator/>
      </w:r>
    </w:p>
  </w:endnote>
  <w:endnote w:type="continuationSeparator" w:id="0">
    <w:p w:rsidR="00192480" w:rsidRDefault="00192480" w:rsidP="00472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480" w:rsidRDefault="00192480">
      <w:r>
        <w:separator/>
      </w:r>
    </w:p>
  </w:footnote>
  <w:footnote w:type="continuationSeparator" w:id="0">
    <w:p w:rsidR="00192480" w:rsidRDefault="001924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7E38"/>
    <w:multiLevelType w:val="multilevel"/>
    <w:tmpl w:val="20F83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62778"/>
    <w:multiLevelType w:val="multilevel"/>
    <w:tmpl w:val="CBB8CF74"/>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2" w15:restartNumberingAfterBreak="0">
    <w:nsid w:val="20661577"/>
    <w:multiLevelType w:val="multilevel"/>
    <w:tmpl w:val="35B0E9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1092124"/>
    <w:multiLevelType w:val="hybridMultilevel"/>
    <w:tmpl w:val="1D84A4B6"/>
    <w:lvl w:ilvl="0" w:tplc="5B88D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13A12"/>
    <w:multiLevelType w:val="multilevel"/>
    <w:tmpl w:val="03F4EB28"/>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5" w15:restartNumberingAfterBreak="0">
    <w:nsid w:val="24C12E5E"/>
    <w:multiLevelType w:val="multilevel"/>
    <w:tmpl w:val="2AEC1BEA"/>
    <w:lvl w:ilvl="0">
      <w:start w:val="2"/>
      <w:numFmt w:val="bullet"/>
      <w:lvlText w:val="-"/>
      <w:lvlJc w:val="left"/>
      <w:pPr>
        <w:ind w:left="927" w:hanging="360"/>
      </w:pPr>
      <w:rPr>
        <w:rFonts w:ascii="OpenSymbol" w:hAnsi="OpenSymbol" w:cs="OpenSymbol" w:hint="default"/>
        <w:b/>
        <w:sz w:val="26"/>
        <w:szCs w:val="24"/>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6" w15:restartNumberingAfterBreak="0">
    <w:nsid w:val="2ABA5363"/>
    <w:multiLevelType w:val="multilevel"/>
    <w:tmpl w:val="9056C6F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420548"/>
    <w:multiLevelType w:val="multilevel"/>
    <w:tmpl w:val="A79A6E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1A14D5"/>
    <w:multiLevelType w:val="multilevel"/>
    <w:tmpl w:val="BF163EB0"/>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9" w15:restartNumberingAfterBreak="0">
    <w:nsid w:val="5A6D3F76"/>
    <w:multiLevelType w:val="multilevel"/>
    <w:tmpl w:val="C4B607D6"/>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0" w15:restartNumberingAfterBreak="0">
    <w:nsid w:val="5CBA21A4"/>
    <w:multiLevelType w:val="multilevel"/>
    <w:tmpl w:val="F5960CAE"/>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1" w15:restartNumberingAfterBreak="0">
    <w:nsid w:val="6123568F"/>
    <w:multiLevelType w:val="hybridMultilevel"/>
    <w:tmpl w:val="1458FC6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9970BC"/>
    <w:multiLevelType w:val="multilevel"/>
    <w:tmpl w:val="4594B4A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BB4B87"/>
    <w:multiLevelType w:val="multilevel"/>
    <w:tmpl w:val="6D4EDD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B205366"/>
    <w:multiLevelType w:val="multilevel"/>
    <w:tmpl w:val="4DB0C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874F32"/>
    <w:multiLevelType w:val="multilevel"/>
    <w:tmpl w:val="1116C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5"/>
  </w:num>
  <w:num w:numId="4">
    <w:abstractNumId w:val="4"/>
  </w:num>
  <w:num w:numId="5">
    <w:abstractNumId w:val="15"/>
  </w:num>
  <w:num w:numId="6">
    <w:abstractNumId w:val="9"/>
  </w:num>
  <w:num w:numId="7">
    <w:abstractNumId w:val="1"/>
  </w:num>
  <w:num w:numId="8">
    <w:abstractNumId w:val="6"/>
  </w:num>
  <w:num w:numId="9">
    <w:abstractNumId w:val="2"/>
  </w:num>
  <w:num w:numId="10">
    <w:abstractNumId w:val="13"/>
  </w:num>
  <w:num w:numId="11">
    <w:abstractNumId w:val="11"/>
  </w:num>
  <w:num w:numId="12">
    <w:abstractNumId w:val="12"/>
  </w:num>
  <w:num w:numId="13">
    <w:abstractNumId w:val="0"/>
    <w:lvlOverride w:ilvl="0">
      <w:lvl w:ilvl="0">
        <w:numFmt w:val="decimal"/>
        <w:lvlText w:val="%1."/>
        <w:lvlJc w:val="left"/>
      </w:lvl>
    </w:lvlOverride>
  </w:num>
  <w:num w:numId="14">
    <w:abstractNumId w:val="14"/>
  </w:num>
  <w:num w:numId="15">
    <w:abstractNumId w:val="7"/>
    <w:lvlOverride w:ilvl="0">
      <w:lvl w:ilvl="0">
        <w:numFmt w:val="decimal"/>
        <w:lvlText w:val="%1."/>
        <w:lvlJc w:val="left"/>
      </w:lvl>
    </w:lvlOverride>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320"/>
    <w:rsid w:val="00011B40"/>
    <w:rsid w:val="00041371"/>
    <w:rsid w:val="000F54CB"/>
    <w:rsid w:val="00192480"/>
    <w:rsid w:val="001D475D"/>
    <w:rsid w:val="002521B7"/>
    <w:rsid w:val="0029549F"/>
    <w:rsid w:val="002B5D21"/>
    <w:rsid w:val="00417545"/>
    <w:rsid w:val="00472320"/>
    <w:rsid w:val="0048065D"/>
    <w:rsid w:val="0049717D"/>
    <w:rsid w:val="005214F8"/>
    <w:rsid w:val="00561F78"/>
    <w:rsid w:val="00567588"/>
    <w:rsid w:val="00596C4E"/>
    <w:rsid w:val="005A132A"/>
    <w:rsid w:val="005E33AD"/>
    <w:rsid w:val="006561AE"/>
    <w:rsid w:val="00664924"/>
    <w:rsid w:val="006D5141"/>
    <w:rsid w:val="00724A01"/>
    <w:rsid w:val="00742D9B"/>
    <w:rsid w:val="007B3410"/>
    <w:rsid w:val="007E19EC"/>
    <w:rsid w:val="00817ACE"/>
    <w:rsid w:val="008B33B3"/>
    <w:rsid w:val="00941123"/>
    <w:rsid w:val="009D64AC"/>
    <w:rsid w:val="009E159C"/>
    <w:rsid w:val="00A87354"/>
    <w:rsid w:val="00B10F33"/>
    <w:rsid w:val="00B42509"/>
    <w:rsid w:val="00B477F4"/>
    <w:rsid w:val="00B73659"/>
    <w:rsid w:val="00BD3825"/>
    <w:rsid w:val="00BE6082"/>
    <w:rsid w:val="00BF55D8"/>
    <w:rsid w:val="00CC208D"/>
    <w:rsid w:val="00CD08FD"/>
    <w:rsid w:val="00D250A3"/>
    <w:rsid w:val="00D267B5"/>
    <w:rsid w:val="00D772B8"/>
    <w:rsid w:val="00DE749A"/>
    <w:rsid w:val="00F33D3A"/>
    <w:rsid w:val="00F375A6"/>
    <w:rsid w:val="00F40A9D"/>
    <w:rsid w:val="00F468E6"/>
    <w:rsid w:val="00F95172"/>
    <w:rsid w:val="00FE13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AC95B"/>
  <w15:docId w15:val="{E5763F69-9C54-4668-84DA-F1831482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618"/>
    <w:pPr>
      <w:bidi/>
      <w:spacing w:line="276" w:lineRule="auto"/>
    </w:pPr>
  </w:style>
  <w:style w:type="paragraph" w:styleId="Heading1">
    <w:name w:val="heading 1"/>
    <w:qFormat/>
    <w:rsid w:val="008A3B28"/>
    <w:pPr>
      <w:keepNext/>
      <w:keepLines/>
      <w:widowControl w:val="0"/>
      <w:spacing w:before="400" w:after="120"/>
      <w:outlineLvl w:val="0"/>
    </w:pPr>
    <w:rPr>
      <w:sz w:val="40"/>
      <w:szCs w:val="40"/>
    </w:rPr>
  </w:style>
  <w:style w:type="paragraph" w:styleId="Heading2">
    <w:name w:val="heading 2"/>
    <w:qFormat/>
    <w:rsid w:val="008A3B28"/>
    <w:pPr>
      <w:keepNext/>
      <w:keepLines/>
      <w:widowControl w:val="0"/>
      <w:spacing w:before="360" w:after="120"/>
      <w:outlineLvl w:val="1"/>
    </w:pPr>
    <w:rPr>
      <w:sz w:val="32"/>
      <w:szCs w:val="32"/>
    </w:rPr>
  </w:style>
  <w:style w:type="paragraph" w:styleId="Heading3">
    <w:name w:val="heading 3"/>
    <w:qFormat/>
    <w:rsid w:val="008A3B28"/>
    <w:pPr>
      <w:keepNext/>
      <w:keepLines/>
      <w:widowControl w:val="0"/>
      <w:spacing w:before="320" w:after="80"/>
      <w:outlineLvl w:val="2"/>
    </w:pPr>
    <w:rPr>
      <w:color w:val="434343"/>
      <w:sz w:val="28"/>
      <w:szCs w:val="28"/>
    </w:rPr>
  </w:style>
  <w:style w:type="paragraph" w:styleId="Heading4">
    <w:name w:val="heading 4"/>
    <w:qFormat/>
    <w:rsid w:val="008A3B28"/>
    <w:pPr>
      <w:keepNext/>
      <w:keepLines/>
      <w:widowControl w:val="0"/>
      <w:spacing w:before="280" w:after="80"/>
      <w:outlineLvl w:val="3"/>
    </w:pPr>
    <w:rPr>
      <w:color w:val="666666"/>
      <w:sz w:val="24"/>
      <w:szCs w:val="24"/>
    </w:rPr>
  </w:style>
  <w:style w:type="paragraph" w:styleId="Heading5">
    <w:name w:val="heading 5"/>
    <w:qFormat/>
    <w:rsid w:val="008A3B28"/>
    <w:pPr>
      <w:keepNext/>
      <w:keepLines/>
      <w:widowControl w:val="0"/>
      <w:spacing w:before="240" w:after="80"/>
      <w:outlineLvl w:val="4"/>
    </w:pPr>
    <w:rPr>
      <w:color w:val="666666"/>
    </w:rPr>
  </w:style>
  <w:style w:type="paragraph" w:styleId="Heading6">
    <w:name w:val="heading 6"/>
    <w:qFormat/>
    <w:rsid w:val="008A3B28"/>
    <w:pPr>
      <w:keepNext/>
      <w:keepLines/>
      <w:widowControl w:val="0"/>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472320"/>
    <w:rPr>
      <w:b/>
      <w:sz w:val="26"/>
      <w:szCs w:val="24"/>
    </w:rPr>
  </w:style>
  <w:style w:type="character" w:customStyle="1" w:styleId="ListLabel2">
    <w:name w:val="ListLabel 2"/>
    <w:qFormat/>
    <w:rsid w:val="00472320"/>
    <w:rPr>
      <w:u w:val="none"/>
    </w:rPr>
  </w:style>
  <w:style w:type="character" w:customStyle="1" w:styleId="ListLabel3">
    <w:name w:val="ListLabel 3"/>
    <w:qFormat/>
    <w:rsid w:val="00472320"/>
    <w:rPr>
      <w:u w:val="none"/>
    </w:rPr>
  </w:style>
  <w:style w:type="character" w:customStyle="1" w:styleId="ListLabel4">
    <w:name w:val="ListLabel 4"/>
    <w:qFormat/>
    <w:rsid w:val="00472320"/>
    <w:rPr>
      <w:u w:val="none"/>
    </w:rPr>
  </w:style>
  <w:style w:type="character" w:customStyle="1" w:styleId="ListLabel5">
    <w:name w:val="ListLabel 5"/>
    <w:qFormat/>
    <w:rsid w:val="00472320"/>
    <w:rPr>
      <w:u w:val="none"/>
    </w:rPr>
  </w:style>
  <w:style w:type="character" w:customStyle="1" w:styleId="ListLabel6">
    <w:name w:val="ListLabel 6"/>
    <w:qFormat/>
    <w:rsid w:val="00472320"/>
    <w:rPr>
      <w:u w:val="none"/>
    </w:rPr>
  </w:style>
  <w:style w:type="character" w:customStyle="1" w:styleId="ListLabel7">
    <w:name w:val="ListLabel 7"/>
    <w:qFormat/>
    <w:rsid w:val="00472320"/>
    <w:rPr>
      <w:u w:val="none"/>
    </w:rPr>
  </w:style>
  <w:style w:type="character" w:customStyle="1" w:styleId="ListLabel8">
    <w:name w:val="ListLabel 8"/>
    <w:qFormat/>
    <w:rsid w:val="00472320"/>
    <w:rPr>
      <w:u w:val="none"/>
    </w:rPr>
  </w:style>
  <w:style w:type="character" w:customStyle="1" w:styleId="ListLabel9">
    <w:name w:val="ListLabel 9"/>
    <w:qFormat/>
    <w:rsid w:val="00472320"/>
    <w:rPr>
      <w:u w:val="none"/>
    </w:rPr>
  </w:style>
  <w:style w:type="character" w:customStyle="1" w:styleId="ListLabel10">
    <w:name w:val="ListLabel 10"/>
    <w:qFormat/>
    <w:rsid w:val="00472320"/>
    <w:rPr>
      <w:u w:val="none"/>
    </w:rPr>
  </w:style>
  <w:style w:type="character" w:customStyle="1" w:styleId="ListLabel11">
    <w:name w:val="ListLabel 11"/>
    <w:qFormat/>
    <w:rsid w:val="00472320"/>
    <w:rPr>
      <w:b/>
      <w:color w:val="4F81BD"/>
      <w:sz w:val="26"/>
      <w:szCs w:val="26"/>
    </w:rPr>
  </w:style>
  <w:style w:type="character" w:customStyle="1" w:styleId="InternetLink">
    <w:name w:val="Internet Link"/>
    <w:rsid w:val="00472320"/>
    <w:rPr>
      <w:color w:val="000080"/>
      <w:u w:val="single"/>
    </w:rPr>
  </w:style>
  <w:style w:type="character" w:customStyle="1" w:styleId="ListLabel12">
    <w:name w:val="ListLabel 12"/>
    <w:qFormat/>
    <w:rsid w:val="00472320"/>
    <w:rPr>
      <w:b/>
      <w:color w:val="4A86E8"/>
      <w:sz w:val="26"/>
      <w:szCs w:val="26"/>
    </w:rPr>
  </w:style>
  <w:style w:type="character" w:customStyle="1" w:styleId="FootnoteCharacters">
    <w:name w:val="Footnote Characters"/>
    <w:qFormat/>
    <w:rsid w:val="00472320"/>
  </w:style>
  <w:style w:type="character" w:customStyle="1" w:styleId="FootnoteAnchor">
    <w:name w:val="Footnote Anchor"/>
    <w:rsid w:val="00472320"/>
    <w:rPr>
      <w:vertAlign w:val="superscript"/>
    </w:rPr>
  </w:style>
  <w:style w:type="character" w:customStyle="1" w:styleId="EndnoteAnchor">
    <w:name w:val="Endnote Anchor"/>
    <w:rsid w:val="00472320"/>
    <w:rPr>
      <w:vertAlign w:val="superscript"/>
    </w:rPr>
  </w:style>
  <w:style w:type="character" w:customStyle="1" w:styleId="EndnoteCharacters">
    <w:name w:val="Endnote Characters"/>
    <w:qFormat/>
    <w:rsid w:val="00472320"/>
  </w:style>
  <w:style w:type="paragraph" w:customStyle="1" w:styleId="Heading">
    <w:name w:val="Heading"/>
    <w:basedOn w:val="Normal"/>
    <w:next w:val="BodyText"/>
    <w:qFormat/>
    <w:rsid w:val="00472320"/>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472320"/>
    <w:pPr>
      <w:spacing w:after="140"/>
    </w:pPr>
  </w:style>
  <w:style w:type="paragraph" w:styleId="List">
    <w:name w:val="List"/>
    <w:basedOn w:val="BodyText"/>
    <w:rsid w:val="00472320"/>
    <w:rPr>
      <w:rFonts w:cs="Lohit Devanagari"/>
    </w:rPr>
  </w:style>
  <w:style w:type="paragraph" w:styleId="Caption">
    <w:name w:val="caption"/>
    <w:basedOn w:val="Normal"/>
    <w:qFormat/>
    <w:rsid w:val="00472320"/>
    <w:pPr>
      <w:suppressLineNumbers/>
      <w:spacing w:before="120" w:after="120"/>
    </w:pPr>
    <w:rPr>
      <w:rFonts w:cs="Lohit Devanagari"/>
      <w:i/>
      <w:iCs/>
      <w:sz w:val="24"/>
      <w:szCs w:val="24"/>
    </w:rPr>
  </w:style>
  <w:style w:type="paragraph" w:customStyle="1" w:styleId="Index">
    <w:name w:val="Index"/>
    <w:basedOn w:val="Normal"/>
    <w:qFormat/>
    <w:rsid w:val="00472320"/>
    <w:pPr>
      <w:suppressLineNumbers/>
    </w:pPr>
    <w:rPr>
      <w:rFonts w:cs="Lohit Devanagari"/>
    </w:rPr>
  </w:style>
  <w:style w:type="paragraph" w:customStyle="1" w:styleId="Normal1">
    <w:name w:val="Normal1"/>
    <w:qFormat/>
    <w:rsid w:val="008A3B28"/>
  </w:style>
  <w:style w:type="paragraph" w:styleId="Title">
    <w:name w:val="Title"/>
    <w:basedOn w:val="Normal1"/>
    <w:next w:val="Normal1"/>
    <w:qFormat/>
    <w:rsid w:val="008A3B28"/>
    <w:pPr>
      <w:keepNext/>
      <w:keepLines/>
      <w:spacing w:after="60"/>
    </w:pPr>
    <w:rPr>
      <w:sz w:val="52"/>
      <w:szCs w:val="52"/>
    </w:rPr>
  </w:style>
  <w:style w:type="paragraph" w:styleId="Subtitle">
    <w:name w:val="Subtitle"/>
    <w:basedOn w:val="Normal1"/>
    <w:next w:val="Normal1"/>
    <w:qFormat/>
    <w:rsid w:val="008A3B28"/>
    <w:pPr>
      <w:keepNext/>
      <w:keepLines/>
      <w:spacing w:after="320"/>
    </w:pPr>
    <w:rPr>
      <w:color w:val="666666"/>
      <w:sz w:val="30"/>
      <w:szCs w:val="30"/>
    </w:rPr>
  </w:style>
  <w:style w:type="paragraph" w:styleId="NormalWeb">
    <w:name w:val="Normal (Web)"/>
    <w:basedOn w:val="Normal"/>
    <w:uiPriority w:val="99"/>
    <w:unhideWhenUsed/>
    <w:qFormat/>
    <w:rsid w:val="00BD799C"/>
    <w:pPr>
      <w:bidi w:val="0"/>
      <w:spacing w:beforeAutospacing="1" w:afterAutospacing="1" w:line="240" w:lineRule="auto"/>
    </w:pPr>
    <w:rPr>
      <w:rFonts w:ascii="Times New Roman" w:eastAsia="Times New Roman" w:hAnsi="Times New Roman" w:cs="Times New Roman"/>
      <w:sz w:val="24"/>
      <w:szCs w:val="24"/>
    </w:rPr>
  </w:style>
  <w:style w:type="paragraph" w:styleId="FootnoteText">
    <w:name w:val="footnote text"/>
    <w:basedOn w:val="Normal"/>
    <w:rsid w:val="00472320"/>
  </w:style>
  <w:style w:type="table" w:styleId="TableGrid">
    <w:name w:val="Table Grid"/>
    <w:basedOn w:val="TableNormal"/>
    <w:uiPriority w:val="59"/>
    <w:rsid w:val="00BC190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24A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02216">
      <w:bodyDiv w:val="1"/>
      <w:marLeft w:val="0"/>
      <w:marRight w:val="0"/>
      <w:marTop w:val="0"/>
      <w:marBottom w:val="0"/>
      <w:divBdr>
        <w:top w:val="none" w:sz="0" w:space="0" w:color="auto"/>
        <w:left w:val="none" w:sz="0" w:space="0" w:color="auto"/>
        <w:bottom w:val="none" w:sz="0" w:space="0" w:color="auto"/>
        <w:right w:val="none" w:sz="0" w:space="0" w:color="auto"/>
      </w:divBdr>
    </w:div>
    <w:div w:id="79571874">
      <w:bodyDiv w:val="1"/>
      <w:marLeft w:val="0"/>
      <w:marRight w:val="0"/>
      <w:marTop w:val="0"/>
      <w:marBottom w:val="0"/>
      <w:divBdr>
        <w:top w:val="none" w:sz="0" w:space="0" w:color="auto"/>
        <w:left w:val="none" w:sz="0" w:space="0" w:color="auto"/>
        <w:bottom w:val="none" w:sz="0" w:space="0" w:color="auto"/>
        <w:right w:val="none" w:sz="0" w:space="0" w:color="auto"/>
      </w:divBdr>
    </w:div>
    <w:div w:id="112333345">
      <w:bodyDiv w:val="1"/>
      <w:marLeft w:val="0"/>
      <w:marRight w:val="0"/>
      <w:marTop w:val="0"/>
      <w:marBottom w:val="0"/>
      <w:divBdr>
        <w:top w:val="none" w:sz="0" w:space="0" w:color="auto"/>
        <w:left w:val="none" w:sz="0" w:space="0" w:color="auto"/>
        <w:bottom w:val="none" w:sz="0" w:space="0" w:color="auto"/>
        <w:right w:val="none" w:sz="0" w:space="0" w:color="auto"/>
      </w:divBdr>
    </w:div>
    <w:div w:id="112404862">
      <w:bodyDiv w:val="1"/>
      <w:marLeft w:val="0"/>
      <w:marRight w:val="0"/>
      <w:marTop w:val="0"/>
      <w:marBottom w:val="0"/>
      <w:divBdr>
        <w:top w:val="none" w:sz="0" w:space="0" w:color="auto"/>
        <w:left w:val="none" w:sz="0" w:space="0" w:color="auto"/>
        <w:bottom w:val="none" w:sz="0" w:space="0" w:color="auto"/>
        <w:right w:val="none" w:sz="0" w:space="0" w:color="auto"/>
      </w:divBdr>
    </w:div>
    <w:div w:id="115878392">
      <w:bodyDiv w:val="1"/>
      <w:marLeft w:val="0"/>
      <w:marRight w:val="0"/>
      <w:marTop w:val="0"/>
      <w:marBottom w:val="0"/>
      <w:divBdr>
        <w:top w:val="none" w:sz="0" w:space="0" w:color="auto"/>
        <w:left w:val="none" w:sz="0" w:space="0" w:color="auto"/>
        <w:bottom w:val="none" w:sz="0" w:space="0" w:color="auto"/>
        <w:right w:val="none" w:sz="0" w:space="0" w:color="auto"/>
      </w:divBdr>
    </w:div>
    <w:div w:id="144669278">
      <w:bodyDiv w:val="1"/>
      <w:marLeft w:val="0"/>
      <w:marRight w:val="0"/>
      <w:marTop w:val="0"/>
      <w:marBottom w:val="0"/>
      <w:divBdr>
        <w:top w:val="none" w:sz="0" w:space="0" w:color="auto"/>
        <w:left w:val="none" w:sz="0" w:space="0" w:color="auto"/>
        <w:bottom w:val="none" w:sz="0" w:space="0" w:color="auto"/>
        <w:right w:val="none" w:sz="0" w:space="0" w:color="auto"/>
      </w:divBdr>
    </w:div>
    <w:div w:id="164709842">
      <w:bodyDiv w:val="1"/>
      <w:marLeft w:val="0"/>
      <w:marRight w:val="0"/>
      <w:marTop w:val="0"/>
      <w:marBottom w:val="0"/>
      <w:divBdr>
        <w:top w:val="none" w:sz="0" w:space="0" w:color="auto"/>
        <w:left w:val="none" w:sz="0" w:space="0" w:color="auto"/>
        <w:bottom w:val="none" w:sz="0" w:space="0" w:color="auto"/>
        <w:right w:val="none" w:sz="0" w:space="0" w:color="auto"/>
      </w:divBdr>
    </w:div>
    <w:div w:id="195696716">
      <w:bodyDiv w:val="1"/>
      <w:marLeft w:val="0"/>
      <w:marRight w:val="0"/>
      <w:marTop w:val="0"/>
      <w:marBottom w:val="0"/>
      <w:divBdr>
        <w:top w:val="none" w:sz="0" w:space="0" w:color="auto"/>
        <w:left w:val="none" w:sz="0" w:space="0" w:color="auto"/>
        <w:bottom w:val="none" w:sz="0" w:space="0" w:color="auto"/>
        <w:right w:val="none" w:sz="0" w:space="0" w:color="auto"/>
      </w:divBdr>
    </w:div>
    <w:div w:id="201209375">
      <w:bodyDiv w:val="1"/>
      <w:marLeft w:val="0"/>
      <w:marRight w:val="0"/>
      <w:marTop w:val="0"/>
      <w:marBottom w:val="0"/>
      <w:divBdr>
        <w:top w:val="none" w:sz="0" w:space="0" w:color="auto"/>
        <w:left w:val="none" w:sz="0" w:space="0" w:color="auto"/>
        <w:bottom w:val="none" w:sz="0" w:space="0" w:color="auto"/>
        <w:right w:val="none" w:sz="0" w:space="0" w:color="auto"/>
      </w:divBdr>
    </w:div>
    <w:div w:id="221984344">
      <w:bodyDiv w:val="1"/>
      <w:marLeft w:val="0"/>
      <w:marRight w:val="0"/>
      <w:marTop w:val="0"/>
      <w:marBottom w:val="0"/>
      <w:divBdr>
        <w:top w:val="none" w:sz="0" w:space="0" w:color="auto"/>
        <w:left w:val="none" w:sz="0" w:space="0" w:color="auto"/>
        <w:bottom w:val="none" w:sz="0" w:space="0" w:color="auto"/>
        <w:right w:val="none" w:sz="0" w:space="0" w:color="auto"/>
      </w:divBdr>
    </w:div>
    <w:div w:id="225264518">
      <w:bodyDiv w:val="1"/>
      <w:marLeft w:val="0"/>
      <w:marRight w:val="0"/>
      <w:marTop w:val="0"/>
      <w:marBottom w:val="0"/>
      <w:divBdr>
        <w:top w:val="none" w:sz="0" w:space="0" w:color="auto"/>
        <w:left w:val="none" w:sz="0" w:space="0" w:color="auto"/>
        <w:bottom w:val="none" w:sz="0" w:space="0" w:color="auto"/>
        <w:right w:val="none" w:sz="0" w:space="0" w:color="auto"/>
      </w:divBdr>
    </w:div>
    <w:div w:id="233904782">
      <w:bodyDiv w:val="1"/>
      <w:marLeft w:val="0"/>
      <w:marRight w:val="0"/>
      <w:marTop w:val="0"/>
      <w:marBottom w:val="0"/>
      <w:divBdr>
        <w:top w:val="none" w:sz="0" w:space="0" w:color="auto"/>
        <w:left w:val="none" w:sz="0" w:space="0" w:color="auto"/>
        <w:bottom w:val="none" w:sz="0" w:space="0" w:color="auto"/>
        <w:right w:val="none" w:sz="0" w:space="0" w:color="auto"/>
      </w:divBdr>
    </w:div>
    <w:div w:id="245768047">
      <w:bodyDiv w:val="1"/>
      <w:marLeft w:val="0"/>
      <w:marRight w:val="0"/>
      <w:marTop w:val="0"/>
      <w:marBottom w:val="0"/>
      <w:divBdr>
        <w:top w:val="none" w:sz="0" w:space="0" w:color="auto"/>
        <w:left w:val="none" w:sz="0" w:space="0" w:color="auto"/>
        <w:bottom w:val="none" w:sz="0" w:space="0" w:color="auto"/>
        <w:right w:val="none" w:sz="0" w:space="0" w:color="auto"/>
      </w:divBdr>
    </w:div>
    <w:div w:id="258375582">
      <w:bodyDiv w:val="1"/>
      <w:marLeft w:val="0"/>
      <w:marRight w:val="0"/>
      <w:marTop w:val="0"/>
      <w:marBottom w:val="0"/>
      <w:divBdr>
        <w:top w:val="none" w:sz="0" w:space="0" w:color="auto"/>
        <w:left w:val="none" w:sz="0" w:space="0" w:color="auto"/>
        <w:bottom w:val="none" w:sz="0" w:space="0" w:color="auto"/>
        <w:right w:val="none" w:sz="0" w:space="0" w:color="auto"/>
      </w:divBdr>
    </w:div>
    <w:div w:id="317611156">
      <w:bodyDiv w:val="1"/>
      <w:marLeft w:val="0"/>
      <w:marRight w:val="0"/>
      <w:marTop w:val="0"/>
      <w:marBottom w:val="0"/>
      <w:divBdr>
        <w:top w:val="none" w:sz="0" w:space="0" w:color="auto"/>
        <w:left w:val="none" w:sz="0" w:space="0" w:color="auto"/>
        <w:bottom w:val="none" w:sz="0" w:space="0" w:color="auto"/>
        <w:right w:val="none" w:sz="0" w:space="0" w:color="auto"/>
      </w:divBdr>
    </w:div>
    <w:div w:id="407850529">
      <w:bodyDiv w:val="1"/>
      <w:marLeft w:val="0"/>
      <w:marRight w:val="0"/>
      <w:marTop w:val="0"/>
      <w:marBottom w:val="0"/>
      <w:divBdr>
        <w:top w:val="none" w:sz="0" w:space="0" w:color="auto"/>
        <w:left w:val="none" w:sz="0" w:space="0" w:color="auto"/>
        <w:bottom w:val="none" w:sz="0" w:space="0" w:color="auto"/>
        <w:right w:val="none" w:sz="0" w:space="0" w:color="auto"/>
      </w:divBdr>
    </w:div>
    <w:div w:id="422075451">
      <w:bodyDiv w:val="1"/>
      <w:marLeft w:val="0"/>
      <w:marRight w:val="0"/>
      <w:marTop w:val="0"/>
      <w:marBottom w:val="0"/>
      <w:divBdr>
        <w:top w:val="none" w:sz="0" w:space="0" w:color="auto"/>
        <w:left w:val="none" w:sz="0" w:space="0" w:color="auto"/>
        <w:bottom w:val="none" w:sz="0" w:space="0" w:color="auto"/>
        <w:right w:val="none" w:sz="0" w:space="0" w:color="auto"/>
      </w:divBdr>
    </w:div>
    <w:div w:id="450707672">
      <w:bodyDiv w:val="1"/>
      <w:marLeft w:val="0"/>
      <w:marRight w:val="0"/>
      <w:marTop w:val="0"/>
      <w:marBottom w:val="0"/>
      <w:divBdr>
        <w:top w:val="none" w:sz="0" w:space="0" w:color="auto"/>
        <w:left w:val="none" w:sz="0" w:space="0" w:color="auto"/>
        <w:bottom w:val="none" w:sz="0" w:space="0" w:color="auto"/>
        <w:right w:val="none" w:sz="0" w:space="0" w:color="auto"/>
      </w:divBdr>
    </w:div>
    <w:div w:id="478621140">
      <w:bodyDiv w:val="1"/>
      <w:marLeft w:val="0"/>
      <w:marRight w:val="0"/>
      <w:marTop w:val="0"/>
      <w:marBottom w:val="0"/>
      <w:divBdr>
        <w:top w:val="none" w:sz="0" w:space="0" w:color="auto"/>
        <w:left w:val="none" w:sz="0" w:space="0" w:color="auto"/>
        <w:bottom w:val="none" w:sz="0" w:space="0" w:color="auto"/>
        <w:right w:val="none" w:sz="0" w:space="0" w:color="auto"/>
      </w:divBdr>
    </w:div>
    <w:div w:id="570889266">
      <w:bodyDiv w:val="1"/>
      <w:marLeft w:val="0"/>
      <w:marRight w:val="0"/>
      <w:marTop w:val="0"/>
      <w:marBottom w:val="0"/>
      <w:divBdr>
        <w:top w:val="none" w:sz="0" w:space="0" w:color="auto"/>
        <w:left w:val="none" w:sz="0" w:space="0" w:color="auto"/>
        <w:bottom w:val="none" w:sz="0" w:space="0" w:color="auto"/>
        <w:right w:val="none" w:sz="0" w:space="0" w:color="auto"/>
      </w:divBdr>
    </w:div>
    <w:div w:id="596865158">
      <w:bodyDiv w:val="1"/>
      <w:marLeft w:val="0"/>
      <w:marRight w:val="0"/>
      <w:marTop w:val="0"/>
      <w:marBottom w:val="0"/>
      <w:divBdr>
        <w:top w:val="none" w:sz="0" w:space="0" w:color="auto"/>
        <w:left w:val="none" w:sz="0" w:space="0" w:color="auto"/>
        <w:bottom w:val="none" w:sz="0" w:space="0" w:color="auto"/>
        <w:right w:val="none" w:sz="0" w:space="0" w:color="auto"/>
      </w:divBdr>
    </w:div>
    <w:div w:id="630987201">
      <w:bodyDiv w:val="1"/>
      <w:marLeft w:val="0"/>
      <w:marRight w:val="0"/>
      <w:marTop w:val="0"/>
      <w:marBottom w:val="0"/>
      <w:divBdr>
        <w:top w:val="none" w:sz="0" w:space="0" w:color="auto"/>
        <w:left w:val="none" w:sz="0" w:space="0" w:color="auto"/>
        <w:bottom w:val="none" w:sz="0" w:space="0" w:color="auto"/>
        <w:right w:val="none" w:sz="0" w:space="0" w:color="auto"/>
      </w:divBdr>
    </w:div>
    <w:div w:id="687021796">
      <w:bodyDiv w:val="1"/>
      <w:marLeft w:val="0"/>
      <w:marRight w:val="0"/>
      <w:marTop w:val="0"/>
      <w:marBottom w:val="0"/>
      <w:divBdr>
        <w:top w:val="none" w:sz="0" w:space="0" w:color="auto"/>
        <w:left w:val="none" w:sz="0" w:space="0" w:color="auto"/>
        <w:bottom w:val="none" w:sz="0" w:space="0" w:color="auto"/>
        <w:right w:val="none" w:sz="0" w:space="0" w:color="auto"/>
      </w:divBdr>
    </w:div>
    <w:div w:id="717512810">
      <w:bodyDiv w:val="1"/>
      <w:marLeft w:val="0"/>
      <w:marRight w:val="0"/>
      <w:marTop w:val="0"/>
      <w:marBottom w:val="0"/>
      <w:divBdr>
        <w:top w:val="none" w:sz="0" w:space="0" w:color="auto"/>
        <w:left w:val="none" w:sz="0" w:space="0" w:color="auto"/>
        <w:bottom w:val="none" w:sz="0" w:space="0" w:color="auto"/>
        <w:right w:val="none" w:sz="0" w:space="0" w:color="auto"/>
      </w:divBdr>
    </w:div>
    <w:div w:id="767896616">
      <w:bodyDiv w:val="1"/>
      <w:marLeft w:val="0"/>
      <w:marRight w:val="0"/>
      <w:marTop w:val="0"/>
      <w:marBottom w:val="0"/>
      <w:divBdr>
        <w:top w:val="none" w:sz="0" w:space="0" w:color="auto"/>
        <w:left w:val="none" w:sz="0" w:space="0" w:color="auto"/>
        <w:bottom w:val="none" w:sz="0" w:space="0" w:color="auto"/>
        <w:right w:val="none" w:sz="0" w:space="0" w:color="auto"/>
      </w:divBdr>
    </w:div>
    <w:div w:id="782918219">
      <w:bodyDiv w:val="1"/>
      <w:marLeft w:val="0"/>
      <w:marRight w:val="0"/>
      <w:marTop w:val="0"/>
      <w:marBottom w:val="0"/>
      <w:divBdr>
        <w:top w:val="none" w:sz="0" w:space="0" w:color="auto"/>
        <w:left w:val="none" w:sz="0" w:space="0" w:color="auto"/>
        <w:bottom w:val="none" w:sz="0" w:space="0" w:color="auto"/>
        <w:right w:val="none" w:sz="0" w:space="0" w:color="auto"/>
      </w:divBdr>
    </w:div>
    <w:div w:id="784815430">
      <w:bodyDiv w:val="1"/>
      <w:marLeft w:val="0"/>
      <w:marRight w:val="0"/>
      <w:marTop w:val="0"/>
      <w:marBottom w:val="0"/>
      <w:divBdr>
        <w:top w:val="none" w:sz="0" w:space="0" w:color="auto"/>
        <w:left w:val="none" w:sz="0" w:space="0" w:color="auto"/>
        <w:bottom w:val="none" w:sz="0" w:space="0" w:color="auto"/>
        <w:right w:val="none" w:sz="0" w:space="0" w:color="auto"/>
      </w:divBdr>
    </w:div>
    <w:div w:id="847019298">
      <w:bodyDiv w:val="1"/>
      <w:marLeft w:val="0"/>
      <w:marRight w:val="0"/>
      <w:marTop w:val="0"/>
      <w:marBottom w:val="0"/>
      <w:divBdr>
        <w:top w:val="none" w:sz="0" w:space="0" w:color="auto"/>
        <w:left w:val="none" w:sz="0" w:space="0" w:color="auto"/>
        <w:bottom w:val="none" w:sz="0" w:space="0" w:color="auto"/>
        <w:right w:val="none" w:sz="0" w:space="0" w:color="auto"/>
      </w:divBdr>
    </w:div>
    <w:div w:id="868639645">
      <w:bodyDiv w:val="1"/>
      <w:marLeft w:val="0"/>
      <w:marRight w:val="0"/>
      <w:marTop w:val="0"/>
      <w:marBottom w:val="0"/>
      <w:divBdr>
        <w:top w:val="none" w:sz="0" w:space="0" w:color="auto"/>
        <w:left w:val="none" w:sz="0" w:space="0" w:color="auto"/>
        <w:bottom w:val="none" w:sz="0" w:space="0" w:color="auto"/>
        <w:right w:val="none" w:sz="0" w:space="0" w:color="auto"/>
      </w:divBdr>
    </w:div>
    <w:div w:id="877938386">
      <w:bodyDiv w:val="1"/>
      <w:marLeft w:val="0"/>
      <w:marRight w:val="0"/>
      <w:marTop w:val="0"/>
      <w:marBottom w:val="0"/>
      <w:divBdr>
        <w:top w:val="none" w:sz="0" w:space="0" w:color="auto"/>
        <w:left w:val="none" w:sz="0" w:space="0" w:color="auto"/>
        <w:bottom w:val="none" w:sz="0" w:space="0" w:color="auto"/>
        <w:right w:val="none" w:sz="0" w:space="0" w:color="auto"/>
      </w:divBdr>
    </w:div>
    <w:div w:id="940186823">
      <w:bodyDiv w:val="1"/>
      <w:marLeft w:val="0"/>
      <w:marRight w:val="0"/>
      <w:marTop w:val="0"/>
      <w:marBottom w:val="0"/>
      <w:divBdr>
        <w:top w:val="none" w:sz="0" w:space="0" w:color="auto"/>
        <w:left w:val="none" w:sz="0" w:space="0" w:color="auto"/>
        <w:bottom w:val="none" w:sz="0" w:space="0" w:color="auto"/>
        <w:right w:val="none" w:sz="0" w:space="0" w:color="auto"/>
      </w:divBdr>
    </w:div>
    <w:div w:id="963465633">
      <w:bodyDiv w:val="1"/>
      <w:marLeft w:val="0"/>
      <w:marRight w:val="0"/>
      <w:marTop w:val="0"/>
      <w:marBottom w:val="0"/>
      <w:divBdr>
        <w:top w:val="none" w:sz="0" w:space="0" w:color="auto"/>
        <w:left w:val="none" w:sz="0" w:space="0" w:color="auto"/>
        <w:bottom w:val="none" w:sz="0" w:space="0" w:color="auto"/>
        <w:right w:val="none" w:sz="0" w:space="0" w:color="auto"/>
      </w:divBdr>
    </w:div>
    <w:div w:id="979965740">
      <w:bodyDiv w:val="1"/>
      <w:marLeft w:val="0"/>
      <w:marRight w:val="0"/>
      <w:marTop w:val="0"/>
      <w:marBottom w:val="0"/>
      <w:divBdr>
        <w:top w:val="none" w:sz="0" w:space="0" w:color="auto"/>
        <w:left w:val="none" w:sz="0" w:space="0" w:color="auto"/>
        <w:bottom w:val="none" w:sz="0" w:space="0" w:color="auto"/>
        <w:right w:val="none" w:sz="0" w:space="0" w:color="auto"/>
      </w:divBdr>
    </w:div>
    <w:div w:id="994647488">
      <w:bodyDiv w:val="1"/>
      <w:marLeft w:val="0"/>
      <w:marRight w:val="0"/>
      <w:marTop w:val="0"/>
      <w:marBottom w:val="0"/>
      <w:divBdr>
        <w:top w:val="none" w:sz="0" w:space="0" w:color="auto"/>
        <w:left w:val="none" w:sz="0" w:space="0" w:color="auto"/>
        <w:bottom w:val="none" w:sz="0" w:space="0" w:color="auto"/>
        <w:right w:val="none" w:sz="0" w:space="0" w:color="auto"/>
      </w:divBdr>
    </w:div>
    <w:div w:id="1100835551">
      <w:bodyDiv w:val="1"/>
      <w:marLeft w:val="0"/>
      <w:marRight w:val="0"/>
      <w:marTop w:val="0"/>
      <w:marBottom w:val="0"/>
      <w:divBdr>
        <w:top w:val="none" w:sz="0" w:space="0" w:color="auto"/>
        <w:left w:val="none" w:sz="0" w:space="0" w:color="auto"/>
        <w:bottom w:val="none" w:sz="0" w:space="0" w:color="auto"/>
        <w:right w:val="none" w:sz="0" w:space="0" w:color="auto"/>
      </w:divBdr>
      <w:divsChild>
        <w:div w:id="365253332">
          <w:marLeft w:val="0"/>
          <w:marRight w:val="-529"/>
          <w:marTop w:val="0"/>
          <w:marBottom w:val="0"/>
          <w:divBdr>
            <w:top w:val="none" w:sz="0" w:space="0" w:color="auto"/>
            <w:left w:val="none" w:sz="0" w:space="0" w:color="auto"/>
            <w:bottom w:val="none" w:sz="0" w:space="0" w:color="auto"/>
            <w:right w:val="none" w:sz="0" w:space="0" w:color="auto"/>
          </w:divBdr>
        </w:div>
        <w:div w:id="1675063471">
          <w:marLeft w:val="0"/>
          <w:marRight w:val="100"/>
          <w:marTop w:val="0"/>
          <w:marBottom w:val="0"/>
          <w:divBdr>
            <w:top w:val="none" w:sz="0" w:space="0" w:color="auto"/>
            <w:left w:val="none" w:sz="0" w:space="0" w:color="auto"/>
            <w:bottom w:val="none" w:sz="0" w:space="0" w:color="auto"/>
            <w:right w:val="none" w:sz="0" w:space="0" w:color="auto"/>
          </w:divBdr>
        </w:div>
        <w:div w:id="47149161">
          <w:marLeft w:val="0"/>
          <w:marRight w:val="50"/>
          <w:marTop w:val="0"/>
          <w:marBottom w:val="0"/>
          <w:divBdr>
            <w:top w:val="none" w:sz="0" w:space="0" w:color="auto"/>
            <w:left w:val="none" w:sz="0" w:space="0" w:color="auto"/>
            <w:bottom w:val="none" w:sz="0" w:space="0" w:color="auto"/>
            <w:right w:val="none" w:sz="0" w:space="0" w:color="auto"/>
          </w:divBdr>
        </w:div>
        <w:div w:id="573706989">
          <w:marLeft w:val="0"/>
          <w:marRight w:val="-373"/>
          <w:marTop w:val="0"/>
          <w:marBottom w:val="0"/>
          <w:divBdr>
            <w:top w:val="none" w:sz="0" w:space="0" w:color="auto"/>
            <w:left w:val="none" w:sz="0" w:space="0" w:color="auto"/>
            <w:bottom w:val="none" w:sz="0" w:space="0" w:color="auto"/>
            <w:right w:val="none" w:sz="0" w:space="0" w:color="auto"/>
          </w:divBdr>
        </w:div>
      </w:divsChild>
    </w:div>
    <w:div w:id="1162426637">
      <w:bodyDiv w:val="1"/>
      <w:marLeft w:val="0"/>
      <w:marRight w:val="0"/>
      <w:marTop w:val="0"/>
      <w:marBottom w:val="0"/>
      <w:divBdr>
        <w:top w:val="none" w:sz="0" w:space="0" w:color="auto"/>
        <w:left w:val="none" w:sz="0" w:space="0" w:color="auto"/>
        <w:bottom w:val="none" w:sz="0" w:space="0" w:color="auto"/>
        <w:right w:val="none" w:sz="0" w:space="0" w:color="auto"/>
      </w:divBdr>
    </w:div>
    <w:div w:id="1176573379">
      <w:bodyDiv w:val="1"/>
      <w:marLeft w:val="0"/>
      <w:marRight w:val="0"/>
      <w:marTop w:val="0"/>
      <w:marBottom w:val="0"/>
      <w:divBdr>
        <w:top w:val="none" w:sz="0" w:space="0" w:color="auto"/>
        <w:left w:val="none" w:sz="0" w:space="0" w:color="auto"/>
        <w:bottom w:val="none" w:sz="0" w:space="0" w:color="auto"/>
        <w:right w:val="none" w:sz="0" w:space="0" w:color="auto"/>
      </w:divBdr>
    </w:div>
    <w:div w:id="1184437282">
      <w:bodyDiv w:val="1"/>
      <w:marLeft w:val="0"/>
      <w:marRight w:val="0"/>
      <w:marTop w:val="0"/>
      <w:marBottom w:val="0"/>
      <w:divBdr>
        <w:top w:val="none" w:sz="0" w:space="0" w:color="auto"/>
        <w:left w:val="none" w:sz="0" w:space="0" w:color="auto"/>
        <w:bottom w:val="none" w:sz="0" w:space="0" w:color="auto"/>
        <w:right w:val="none" w:sz="0" w:space="0" w:color="auto"/>
      </w:divBdr>
    </w:div>
    <w:div w:id="1405684646">
      <w:bodyDiv w:val="1"/>
      <w:marLeft w:val="0"/>
      <w:marRight w:val="0"/>
      <w:marTop w:val="0"/>
      <w:marBottom w:val="0"/>
      <w:divBdr>
        <w:top w:val="none" w:sz="0" w:space="0" w:color="auto"/>
        <w:left w:val="none" w:sz="0" w:space="0" w:color="auto"/>
        <w:bottom w:val="none" w:sz="0" w:space="0" w:color="auto"/>
        <w:right w:val="none" w:sz="0" w:space="0" w:color="auto"/>
      </w:divBdr>
    </w:div>
    <w:div w:id="1407534221">
      <w:bodyDiv w:val="1"/>
      <w:marLeft w:val="0"/>
      <w:marRight w:val="0"/>
      <w:marTop w:val="0"/>
      <w:marBottom w:val="0"/>
      <w:divBdr>
        <w:top w:val="none" w:sz="0" w:space="0" w:color="auto"/>
        <w:left w:val="none" w:sz="0" w:space="0" w:color="auto"/>
        <w:bottom w:val="none" w:sz="0" w:space="0" w:color="auto"/>
        <w:right w:val="none" w:sz="0" w:space="0" w:color="auto"/>
      </w:divBdr>
    </w:div>
    <w:div w:id="1536574568">
      <w:bodyDiv w:val="1"/>
      <w:marLeft w:val="0"/>
      <w:marRight w:val="0"/>
      <w:marTop w:val="0"/>
      <w:marBottom w:val="0"/>
      <w:divBdr>
        <w:top w:val="none" w:sz="0" w:space="0" w:color="auto"/>
        <w:left w:val="none" w:sz="0" w:space="0" w:color="auto"/>
        <w:bottom w:val="none" w:sz="0" w:space="0" w:color="auto"/>
        <w:right w:val="none" w:sz="0" w:space="0" w:color="auto"/>
      </w:divBdr>
    </w:div>
    <w:div w:id="1570382302">
      <w:bodyDiv w:val="1"/>
      <w:marLeft w:val="0"/>
      <w:marRight w:val="0"/>
      <w:marTop w:val="0"/>
      <w:marBottom w:val="0"/>
      <w:divBdr>
        <w:top w:val="none" w:sz="0" w:space="0" w:color="auto"/>
        <w:left w:val="none" w:sz="0" w:space="0" w:color="auto"/>
        <w:bottom w:val="none" w:sz="0" w:space="0" w:color="auto"/>
        <w:right w:val="none" w:sz="0" w:space="0" w:color="auto"/>
      </w:divBdr>
      <w:divsChild>
        <w:div w:id="302388059">
          <w:marLeft w:val="0"/>
          <w:marRight w:val="-529"/>
          <w:marTop w:val="0"/>
          <w:marBottom w:val="0"/>
          <w:divBdr>
            <w:top w:val="none" w:sz="0" w:space="0" w:color="auto"/>
            <w:left w:val="none" w:sz="0" w:space="0" w:color="auto"/>
            <w:bottom w:val="none" w:sz="0" w:space="0" w:color="auto"/>
            <w:right w:val="none" w:sz="0" w:space="0" w:color="auto"/>
          </w:divBdr>
        </w:div>
        <w:div w:id="1113671528">
          <w:marLeft w:val="0"/>
          <w:marRight w:val="100"/>
          <w:marTop w:val="0"/>
          <w:marBottom w:val="0"/>
          <w:divBdr>
            <w:top w:val="none" w:sz="0" w:space="0" w:color="auto"/>
            <w:left w:val="none" w:sz="0" w:space="0" w:color="auto"/>
            <w:bottom w:val="none" w:sz="0" w:space="0" w:color="auto"/>
            <w:right w:val="none" w:sz="0" w:space="0" w:color="auto"/>
          </w:divBdr>
        </w:div>
        <w:div w:id="1967158473">
          <w:marLeft w:val="0"/>
          <w:marRight w:val="50"/>
          <w:marTop w:val="0"/>
          <w:marBottom w:val="0"/>
          <w:divBdr>
            <w:top w:val="none" w:sz="0" w:space="0" w:color="auto"/>
            <w:left w:val="none" w:sz="0" w:space="0" w:color="auto"/>
            <w:bottom w:val="none" w:sz="0" w:space="0" w:color="auto"/>
            <w:right w:val="none" w:sz="0" w:space="0" w:color="auto"/>
          </w:divBdr>
        </w:div>
        <w:div w:id="2040736216">
          <w:marLeft w:val="0"/>
          <w:marRight w:val="-373"/>
          <w:marTop w:val="0"/>
          <w:marBottom w:val="0"/>
          <w:divBdr>
            <w:top w:val="none" w:sz="0" w:space="0" w:color="auto"/>
            <w:left w:val="none" w:sz="0" w:space="0" w:color="auto"/>
            <w:bottom w:val="none" w:sz="0" w:space="0" w:color="auto"/>
            <w:right w:val="none" w:sz="0" w:space="0" w:color="auto"/>
          </w:divBdr>
        </w:div>
      </w:divsChild>
    </w:div>
    <w:div w:id="1586838227">
      <w:bodyDiv w:val="1"/>
      <w:marLeft w:val="0"/>
      <w:marRight w:val="0"/>
      <w:marTop w:val="0"/>
      <w:marBottom w:val="0"/>
      <w:divBdr>
        <w:top w:val="none" w:sz="0" w:space="0" w:color="auto"/>
        <w:left w:val="none" w:sz="0" w:space="0" w:color="auto"/>
        <w:bottom w:val="none" w:sz="0" w:space="0" w:color="auto"/>
        <w:right w:val="none" w:sz="0" w:space="0" w:color="auto"/>
      </w:divBdr>
    </w:div>
    <w:div w:id="1589537860">
      <w:bodyDiv w:val="1"/>
      <w:marLeft w:val="0"/>
      <w:marRight w:val="0"/>
      <w:marTop w:val="0"/>
      <w:marBottom w:val="0"/>
      <w:divBdr>
        <w:top w:val="none" w:sz="0" w:space="0" w:color="auto"/>
        <w:left w:val="none" w:sz="0" w:space="0" w:color="auto"/>
        <w:bottom w:val="none" w:sz="0" w:space="0" w:color="auto"/>
        <w:right w:val="none" w:sz="0" w:space="0" w:color="auto"/>
      </w:divBdr>
    </w:div>
    <w:div w:id="1640723163">
      <w:bodyDiv w:val="1"/>
      <w:marLeft w:val="0"/>
      <w:marRight w:val="0"/>
      <w:marTop w:val="0"/>
      <w:marBottom w:val="0"/>
      <w:divBdr>
        <w:top w:val="none" w:sz="0" w:space="0" w:color="auto"/>
        <w:left w:val="none" w:sz="0" w:space="0" w:color="auto"/>
        <w:bottom w:val="none" w:sz="0" w:space="0" w:color="auto"/>
        <w:right w:val="none" w:sz="0" w:space="0" w:color="auto"/>
      </w:divBdr>
    </w:div>
    <w:div w:id="1747067275">
      <w:bodyDiv w:val="1"/>
      <w:marLeft w:val="0"/>
      <w:marRight w:val="0"/>
      <w:marTop w:val="0"/>
      <w:marBottom w:val="0"/>
      <w:divBdr>
        <w:top w:val="none" w:sz="0" w:space="0" w:color="auto"/>
        <w:left w:val="none" w:sz="0" w:space="0" w:color="auto"/>
        <w:bottom w:val="none" w:sz="0" w:space="0" w:color="auto"/>
        <w:right w:val="none" w:sz="0" w:space="0" w:color="auto"/>
      </w:divBdr>
    </w:div>
    <w:div w:id="1766223727">
      <w:bodyDiv w:val="1"/>
      <w:marLeft w:val="0"/>
      <w:marRight w:val="0"/>
      <w:marTop w:val="0"/>
      <w:marBottom w:val="0"/>
      <w:divBdr>
        <w:top w:val="none" w:sz="0" w:space="0" w:color="auto"/>
        <w:left w:val="none" w:sz="0" w:space="0" w:color="auto"/>
        <w:bottom w:val="none" w:sz="0" w:space="0" w:color="auto"/>
        <w:right w:val="none" w:sz="0" w:space="0" w:color="auto"/>
      </w:divBdr>
    </w:div>
    <w:div w:id="1806505486">
      <w:bodyDiv w:val="1"/>
      <w:marLeft w:val="0"/>
      <w:marRight w:val="0"/>
      <w:marTop w:val="0"/>
      <w:marBottom w:val="0"/>
      <w:divBdr>
        <w:top w:val="none" w:sz="0" w:space="0" w:color="auto"/>
        <w:left w:val="none" w:sz="0" w:space="0" w:color="auto"/>
        <w:bottom w:val="none" w:sz="0" w:space="0" w:color="auto"/>
        <w:right w:val="none" w:sz="0" w:space="0" w:color="auto"/>
      </w:divBdr>
    </w:div>
    <w:div w:id="1880702055">
      <w:bodyDiv w:val="1"/>
      <w:marLeft w:val="0"/>
      <w:marRight w:val="0"/>
      <w:marTop w:val="0"/>
      <w:marBottom w:val="0"/>
      <w:divBdr>
        <w:top w:val="none" w:sz="0" w:space="0" w:color="auto"/>
        <w:left w:val="none" w:sz="0" w:space="0" w:color="auto"/>
        <w:bottom w:val="none" w:sz="0" w:space="0" w:color="auto"/>
        <w:right w:val="none" w:sz="0" w:space="0" w:color="auto"/>
      </w:divBdr>
    </w:div>
    <w:div w:id="1905949453">
      <w:bodyDiv w:val="1"/>
      <w:marLeft w:val="0"/>
      <w:marRight w:val="0"/>
      <w:marTop w:val="0"/>
      <w:marBottom w:val="0"/>
      <w:divBdr>
        <w:top w:val="none" w:sz="0" w:space="0" w:color="auto"/>
        <w:left w:val="none" w:sz="0" w:space="0" w:color="auto"/>
        <w:bottom w:val="none" w:sz="0" w:space="0" w:color="auto"/>
        <w:right w:val="none" w:sz="0" w:space="0" w:color="auto"/>
      </w:divBdr>
    </w:div>
    <w:div w:id="2063479701">
      <w:bodyDiv w:val="1"/>
      <w:marLeft w:val="0"/>
      <w:marRight w:val="0"/>
      <w:marTop w:val="0"/>
      <w:marBottom w:val="0"/>
      <w:divBdr>
        <w:top w:val="none" w:sz="0" w:space="0" w:color="auto"/>
        <w:left w:val="none" w:sz="0" w:space="0" w:color="auto"/>
        <w:bottom w:val="none" w:sz="0" w:space="0" w:color="auto"/>
        <w:right w:val="none" w:sz="0" w:space="0" w:color="auto"/>
      </w:divBdr>
    </w:div>
    <w:div w:id="2133670613">
      <w:bodyDiv w:val="1"/>
      <w:marLeft w:val="0"/>
      <w:marRight w:val="0"/>
      <w:marTop w:val="0"/>
      <w:marBottom w:val="0"/>
      <w:divBdr>
        <w:top w:val="none" w:sz="0" w:space="0" w:color="auto"/>
        <w:left w:val="none" w:sz="0" w:space="0" w:color="auto"/>
        <w:bottom w:val="none" w:sz="0" w:space="0" w:color="auto"/>
        <w:right w:val="none" w:sz="0" w:space="0" w:color="auto"/>
      </w:divBdr>
    </w:div>
    <w:div w:id="2146389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nhri.info/?cat=14&amp;lang=en"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3405</Words>
  <Characters>19413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Hussien</dc:creator>
  <dc:description/>
  <cp:lastModifiedBy>Hussien</cp:lastModifiedBy>
  <cp:revision>2</cp:revision>
  <cp:lastPrinted>2020-07-08T12:28:00Z</cp:lastPrinted>
  <dcterms:created xsi:type="dcterms:W3CDTF">2020-07-08T14:22:00Z</dcterms:created>
  <dcterms:modified xsi:type="dcterms:W3CDTF">2020-07-08T14:22:00Z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